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1a3a6b" w:val="clear"/>
            <w:tcMar>
              <w:top w:w="320.0" w:type="dxa"/>
              <w:left w:w="400.0" w:type="dxa"/>
              <w:bottom w:w="320.0" w:type="dxa"/>
              <w:right w:w="400.0" w:type="dxa"/>
            </w:tcMar>
          </w:tcPr>
          <w:p w:rsidR="00000000" w:rsidDel="00000000" w:rsidP="00000000" w:rsidRDefault="00000000" w:rsidRPr="00000000" w14:paraId="00000002">
            <w:pPr>
              <w:jc w:val="center"/>
              <w:rPr/>
            </w:pPr>
            <w:r w:rsidDel="00000000" w:rsidR="00000000" w:rsidRPr="00000000">
              <w:rPr>
                <w:rFonts w:ascii="Arial" w:cs="Arial" w:eastAsia="Arial" w:hAnsi="Arial"/>
                <w:b w:val="1"/>
                <w:bCs w:val="1"/>
                <w:i w:val="0"/>
                <w:iCs w:val="0"/>
                <w:color w:val="ffffff"/>
                <w:sz w:val="19"/>
                <w:szCs w:val="19"/>
                <w:rtl w:val="0"/>
              </w:rPr>
              <w:t xml:space="preserve">ORGANIZACIÓN DE BENEFICIOS DE PROFESIONALES DE TURISMO</w:t>
            </w:r>
            <w:r w:rsidDel="00000000" w:rsidR="00000000" w:rsidRPr="00000000">
              <w:rPr>
                <w:rtl w:val="0"/>
              </w:rPr>
            </w:r>
          </w:p>
          <w:p w:rsidR="00000000" w:rsidDel="00000000" w:rsidP="00000000" w:rsidRDefault="00000000" w:rsidRPr="00000000" w14:paraId="00000003">
            <w:pPr>
              <w:spacing w:after="80" w:before="80" w:lineRule="auto"/>
              <w:jc w:val="center"/>
              <w:rPr/>
            </w:pPr>
            <w:r w:rsidDel="00000000" w:rsidR="00000000" w:rsidRPr="00000000">
              <w:rPr>
                <w:rFonts w:ascii="Arial" w:cs="Arial" w:eastAsia="Arial" w:hAnsi="Arial"/>
                <w:b w:val="1"/>
                <w:bCs w:val="1"/>
                <w:i w:val="0"/>
                <w:iCs w:val="0"/>
                <w:color w:val="ffffff"/>
                <w:sz w:val="64"/>
                <w:szCs w:val="64"/>
                <w:rtl w:val="0"/>
              </w:rPr>
              <w:t xml:space="preserve">OBPT</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Arial" w:cs="Arial" w:eastAsia="Arial" w:hAnsi="Arial"/>
                <w:b w:val="1"/>
                <w:bCs w:val="1"/>
                <w:i w:val="0"/>
                <w:iCs w:val="0"/>
                <w:color w:val="bcd4f0"/>
                <w:sz w:val="26"/>
                <w:szCs w:val="26"/>
                <w:rtl w:val="0"/>
              </w:rPr>
              <w:t xml:space="preserve">CLÁUSULA ARBITRAL Y PRÓRROGA DE JURISDICCIÓN</w:t>
            </w:r>
            <w:r w:rsidDel="00000000" w:rsidR="00000000" w:rsidRPr="00000000">
              <w:rPr>
                <w:rtl w:val="0"/>
              </w:rPr>
            </w:r>
          </w:p>
          <w:p w:rsidR="00000000" w:rsidDel="00000000" w:rsidP="00000000" w:rsidRDefault="00000000" w:rsidRPr="00000000" w14:paraId="00000005">
            <w:pPr>
              <w:spacing w:after="0" w:before="100" w:lineRule="auto"/>
              <w:jc w:val="center"/>
              <w:rPr/>
            </w:pPr>
            <w:r w:rsidDel="00000000" w:rsidR="00000000" w:rsidRPr="00000000">
              <w:rPr>
                <w:rFonts w:ascii="Arial" w:cs="Arial" w:eastAsia="Arial" w:hAnsi="Arial"/>
                <w:b w:val="0"/>
                <w:bCs w:val="0"/>
                <w:i w:val="0"/>
                <w:iCs w:val="0"/>
                <w:color w:val="a0b8d8"/>
                <w:sz w:val="18"/>
                <w:szCs w:val="18"/>
                <w:rtl w:val="0"/>
              </w:rPr>
              <w:t xml:space="preserve">Documento de suscripción independiente — Agencias Miembro</w:t>
            </w:r>
            <w:r w:rsidDel="00000000" w:rsidR="00000000" w:rsidRPr="00000000">
              <w:rPr>
                <w:rtl w:val="0"/>
              </w:rPr>
            </w:r>
          </w:p>
        </w:tc>
      </w:tr>
    </w:tbl>
    <w:p w:rsidR="00000000" w:rsidDel="00000000" w:rsidP="00000000" w:rsidRDefault="00000000" w:rsidRPr="00000000" w14:paraId="00000006">
      <w:pPr>
        <w:spacing w:after="60" w:before="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f2f5fa" w:val="clear"/>
            <w:tcMar>
              <w:top w:w="160.0" w:type="dxa"/>
              <w:left w:w="220.0" w:type="dxa"/>
              <w:bottom w:w="160.0" w:type="dxa"/>
              <w:right w:w="220.0" w:type="dxa"/>
            </w:tcMar>
          </w:tcPr>
          <w:p w:rsidR="00000000" w:rsidDel="00000000" w:rsidP="00000000" w:rsidRDefault="00000000" w:rsidRPr="00000000" w14:paraId="00000007">
            <w:pPr>
              <w:spacing w:after="80" w:before="0" w:lineRule="auto"/>
              <w:jc w:val="center"/>
              <w:rPr/>
            </w:pPr>
            <w:r w:rsidDel="00000000" w:rsidR="00000000" w:rsidRPr="00000000">
              <w:rPr>
                <w:rFonts w:ascii="Arial" w:cs="Arial" w:eastAsia="Arial" w:hAnsi="Arial"/>
                <w:b w:val="1"/>
                <w:bCs w:val="1"/>
                <w:i w:val="0"/>
                <w:iCs w:val="0"/>
                <w:color w:val="1a3a6b"/>
                <w:sz w:val="20"/>
                <w:szCs w:val="20"/>
                <w:rtl w:val="0"/>
              </w:rPr>
              <w:t xml:space="preserve">NATURALEZA DEL DOCUMENTO</w:t>
            </w:r>
            <w:r w:rsidDel="00000000" w:rsidR="00000000" w:rsidRPr="00000000">
              <w:rPr>
                <w:rtl w:val="0"/>
              </w:rPr>
            </w:r>
          </w:p>
          <w:p w:rsidR="00000000" w:rsidDel="00000000" w:rsidP="00000000" w:rsidRDefault="00000000" w:rsidRPr="00000000" w14:paraId="00000008">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presente instrumento constituye un acuerdo autónomo e independiente mediante el cual la agencia miembro de OBPT que al pie suscribe acepta libre y voluntariamente la prórroga de jurisdicción al Tribunal Arbitral de OBPT y las reglas del procedimiento arbitral aquí establecidas, para la resolución de toda controversia que pudiera suscitarse entre miembros de la Organización.</w:t>
            </w:r>
            <w:r w:rsidDel="00000000" w:rsidR="00000000" w:rsidRPr="00000000">
              <w:rPr>
                <w:rtl w:val="0"/>
              </w:rPr>
            </w:r>
          </w:p>
        </w:tc>
      </w:tr>
    </w:tbl>
    <w:p w:rsidR="00000000" w:rsidDel="00000000" w:rsidP="00000000" w:rsidRDefault="00000000" w:rsidRPr="00000000" w14:paraId="00000009">
      <w:pPr>
        <w:spacing w:after="60" w:before="60" w:lineRule="auto"/>
        <w:rPr/>
      </w:pPr>
      <w:r w:rsidDel="00000000" w:rsidR="00000000" w:rsidRPr="00000000">
        <w:rPr>
          <w:rtl w:val="0"/>
        </w:rPr>
      </w:r>
    </w:p>
    <w:p w:rsidR="00000000" w:rsidDel="00000000" w:rsidP="00000000" w:rsidRDefault="00000000" w:rsidRPr="00000000" w14:paraId="0000000A">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0B">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 PARTE SUSCRIBIENTE</w:t>
      </w:r>
      <w:r w:rsidDel="00000000" w:rsidR="00000000" w:rsidRPr="00000000">
        <w:rPr>
          <w:rtl w:val="0"/>
        </w:rPr>
      </w:r>
    </w:p>
    <w:p w:rsidR="00000000" w:rsidDel="00000000" w:rsidP="00000000" w:rsidRDefault="00000000" w:rsidRPr="00000000" w14:paraId="0000000C">
      <w:pPr>
        <w:spacing w:after="60" w:before="6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0D">
            <w:pPr>
              <w:spacing w:after="80" w:before="80" w:lineRule="auto"/>
              <w:jc w:val="both"/>
              <w:rPr/>
            </w:pPr>
            <w:r w:rsidDel="00000000" w:rsidR="00000000" w:rsidRPr="00000000">
              <w:rPr>
                <w:rFonts w:ascii="Arial" w:cs="Arial" w:eastAsia="Arial" w:hAnsi="Arial"/>
                <w:b w:val="1"/>
                <w:bCs w:val="1"/>
                <w:i w:val="0"/>
                <w:iCs w:val="0"/>
                <w:color w:val="000000"/>
                <w:sz w:val="20"/>
                <w:szCs w:val="20"/>
                <w:rtl w:val="0"/>
              </w:rPr>
              <w:t xml:space="preserve">Denominación / Nombre:</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0E">
            <w:pPr>
              <w:spacing w:after="80" w:before="80" w:lineRule="auto"/>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0F">
            <w:pPr>
              <w:spacing w:after="80" w:before="80" w:lineRule="auto"/>
              <w:jc w:val="both"/>
              <w:rPr/>
            </w:pPr>
            <w:r w:rsidDel="00000000" w:rsidR="00000000" w:rsidRPr="00000000">
              <w:rPr>
                <w:rFonts w:ascii="Arial" w:cs="Arial" w:eastAsia="Arial" w:hAnsi="Arial"/>
                <w:b w:val="1"/>
                <w:bCs w:val="1"/>
                <w:i w:val="0"/>
                <w:iCs w:val="0"/>
                <w:color w:val="000000"/>
                <w:sz w:val="20"/>
                <w:szCs w:val="20"/>
                <w:rtl w:val="0"/>
              </w:rPr>
              <w:t xml:space="preserve">CUIT:</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0">
            <w:pPr>
              <w:spacing w:after="80" w:before="80" w:lineRule="auto"/>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11">
            <w:pPr>
              <w:spacing w:after="80" w:before="80" w:lineRule="auto"/>
              <w:jc w:val="both"/>
              <w:rPr/>
            </w:pPr>
            <w:r w:rsidDel="00000000" w:rsidR="00000000" w:rsidRPr="00000000">
              <w:rPr>
                <w:rFonts w:ascii="Arial" w:cs="Arial" w:eastAsia="Arial" w:hAnsi="Arial"/>
                <w:b w:val="1"/>
                <w:bCs w:val="1"/>
                <w:i w:val="0"/>
                <w:iCs w:val="0"/>
                <w:color w:val="000000"/>
                <w:sz w:val="20"/>
                <w:szCs w:val="20"/>
                <w:rtl w:val="0"/>
              </w:rPr>
              <w:t xml:space="preserve">Representante legal:</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2">
            <w:pPr>
              <w:spacing w:after="80" w:before="80" w:lineRule="auto"/>
              <w:jc w:val="both"/>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13">
            <w:pPr>
              <w:spacing w:after="80" w:before="80" w:lineRule="auto"/>
              <w:jc w:val="both"/>
              <w:rPr/>
            </w:pPr>
            <w:r w:rsidDel="00000000" w:rsidR="00000000" w:rsidRPr="00000000">
              <w:rPr>
                <w:rFonts w:ascii="Arial" w:cs="Arial" w:eastAsia="Arial" w:hAnsi="Arial"/>
                <w:b w:val="1"/>
                <w:bCs w:val="1"/>
                <w:i w:val="0"/>
                <w:iCs w:val="0"/>
                <w:color w:val="000000"/>
                <w:sz w:val="20"/>
                <w:szCs w:val="20"/>
                <w:rtl w:val="0"/>
              </w:rPr>
              <w:t xml:space="preserve">DNI / CUIL:</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4">
            <w:pPr>
              <w:spacing w:after="80" w:before="80" w:lineRule="auto"/>
              <w:jc w:val="both"/>
              <w:rPr/>
            </w:pPr>
            <w:r w:rsidDel="00000000" w:rsidR="00000000" w:rsidRPr="00000000">
              <w:rPr>
                <w:rtl w:val="0"/>
              </w:rPr>
            </w:r>
          </w:p>
        </w:tc>
      </w:tr>
    </w:tbl>
    <w:p w:rsidR="00000000" w:rsidDel="00000000" w:rsidP="00000000" w:rsidRDefault="00000000" w:rsidRPr="00000000" w14:paraId="00000015">
      <w:pPr>
        <w:spacing w:after="60" w:before="60" w:lineRule="auto"/>
        <w:rPr/>
      </w:pPr>
      <w:r w:rsidDel="00000000" w:rsidR="00000000" w:rsidRPr="00000000">
        <w:rPr>
          <w:rtl w:val="0"/>
        </w:rPr>
      </w:r>
    </w:p>
    <w:p w:rsidR="00000000" w:rsidDel="00000000" w:rsidP="00000000" w:rsidRDefault="00000000" w:rsidRPr="00000000" w14:paraId="00000016">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17">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II. PRÓRROGA DE JURISDICCIÓN</w:t>
      </w:r>
      <w:r w:rsidDel="00000000" w:rsidR="00000000" w:rsidRPr="00000000">
        <w:rPr>
          <w:rtl w:val="0"/>
        </w:rPr>
      </w:r>
    </w:p>
    <w:p w:rsidR="00000000" w:rsidDel="00000000" w:rsidP="00000000" w:rsidRDefault="00000000" w:rsidRPr="00000000" w14:paraId="00000018">
      <w:pPr>
        <w:spacing w:after="60" w:before="60" w:lineRule="auto"/>
        <w:rPr/>
      </w:pPr>
      <w:r w:rsidDel="00000000" w:rsidR="00000000" w:rsidRPr="00000000">
        <w:rPr>
          <w:rtl w:val="0"/>
        </w:rPr>
      </w:r>
    </w:p>
    <w:p w:rsidR="00000000" w:rsidDel="00000000" w:rsidP="00000000" w:rsidRDefault="00000000" w:rsidRPr="00000000" w14:paraId="00000019">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 suscribiente presta expresa e irrevocable conformidad con la prórroga de jurisdicción al Tribunal Arbitral de OBPT para entender en toda controversia o conflicto que pudiera surgir entre miembros de la Organización —sean mayoristas, minoristas, receptivos o profesionales independientes— derivados de su actividad en el marco de OBPT o de relaciones comerciales entre miembros de la red.</w:t>
      </w:r>
      <w:r w:rsidDel="00000000" w:rsidR="00000000" w:rsidRPr="00000000">
        <w:rPr>
          <w:rtl w:val="0"/>
        </w:rPr>
      </w:r>
    </w:p>
    <w:p w:rsidR="00000000" w:rsidDel="00000000" w:rsidP="00000000" w:rsidRDefault="00000000" w:rsidRPr="00000000" w14:paraId="0000001A">
      <w:pPr>
        <w:spacing w:after="60" w:before="60" w:lineRule="auto"/>
        <w:rPr/>
      </w:pPr>
      <w:r w:rsidDel="00000000" w:rsidR="00000000" w:rsidRPr="00000000">
        <w:rPr>
          <w:rtl w:val="0"/>
        </w:rPr>
      </w:r>
    </w:p>
    <w:p w:rsidR="00000000" w:rsidDel="00000000" w:rsidP="00000000" w:rsidRDefault="00000000" w:rsidRPr="00000000" w14:paraId="0000001B">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Esta prórroga de jurisdicción implica la renuncia expresa a cualquier otro fuero o jurisdicción ordinaria para las controversias sometidas al presente régimen arbitral, con excepción de las materias excluidas por disposición legal de orden público.</w:t>
      </w:r>
      <w:r w:rsidDel="00000000" w:rsidR="00000000" w:rsidRPr="00000000">
        <w:rPr>
          <w:rtl w:val="0"/>
        </w:rPr>
      </w:r>
    </w:p>
    <w:p w:rsidR="00000000" w:rsidDel="00000000" w:rsidP="00000000" w:rsidRDefault="00000000" w:rsidRPr="00000000" w14:paraId="0000001C">
      <w:pPr>
        <w:spacing w:after="60" w:before="60" w:lineRule="auto"/>
        <w:rPr/>
      </w:pPr>
      <w:r w:rsidDel="00000000" w:rsidR="00000000" w:rsidRPr="00000000">
        <w:rPr>
          <w:rtl w:val="0"/>
        </w:rPr>
      </w:r>
    </w:p>
    <w:p w:rsidR="00000000" w:rsidDel="00000000" w:rsidP="00000000" w:rsidRDefault="00000000" w:rsidRPr="00000000" w14:paraId="0000001D">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1E">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III. PROCEDIMIENTO DE RESOLUCIÓN DE CONFLICTOS</w:t>
      </w:r>
      <w:r w:rsidDel="00000000" w:rsidR="00000000" w:rsidRPr="00000000">
        <w:rPr>
          <w:rtl w:val="0"/>
        </w:rPr>
      </w:r>
    </w:p>
    <w:p w:rsidR="00000000" w:rsidDel="00000000" w:rsidP="00000000" w:rsidRDefault="00000000" w:rsidRPr="00000000" w14:paraId="0000001F">
      <w:pPr>
        <w:spacing w:after="60" w:before="60" w:lineRule="auto"/>
        <w:rPr/>
      </w:pPr>
      <w:r w:rsidDel="00000000" w:rsidR="00000000" w:rsidRPr="00000000">
        <w:rPr>
          <w:rtl w:val="0"/>
        </w:rPr>
      </w:r>
    </w:p>
    <w:p w:rsidR="00000000" w:rsidDel="00000000" w:rsidP="00000000" w:rsidRDefault="00000000" w:rsidRPr="00000000" w14:paraId="00000020">
      <w:pPr>
        <w:spacing w:after="120" w:before="260" w:lineRule="auto"/>
        <w:rPr/>
      </w:pPr>
      <w:r w:rsidDel="00000000" w:rsidR="00000000" w:rsidRPr="00000000">
        <w:rPr>
          <w:rFonts w:ascii="Arial" w:cs="Arial" w:eastAsia="Arial" w:hAnsi="Arial"/>
          <w:b w:val="1"/>
          <w:bCs w:val="1"/>
          <w:i w:val="0"/>
          <w:iCs w:val="0"/>
          <w:color w:val="2e5fa3"/>
          <w:sz w:val="21"/>
          <w:szCs w:val="21"/>
          <w:u w:val="single"/>
          <w:rtl w:val="0"/>
        </w:rPr>
        <w:t xml:space="preserve">3.1. Etapa 1 — Negociación Previa Obligatoria</w:t>
      </w:r>
      <w:r w:rsidDel="00000000" w:rsidR="00000000" w:rsidRPr="00000000">
        <w:rPr>
          <w:rtl w:val="0"/>
        </w:rPr>
      </w:r>
    </w:p>
    <w:p w:rsidR="00000000" w:rsidDel="00000000" w:rsidP="00000000" w:rsidRDefault="00000000" w:rsidRPr="00000000" w14:paraId="00000021">
      <w:pPr>
        <w:spacing w:after="60" w:before="60" w:lineRule="auto"/>
        <w:rPr/>
      </w:pPr>
      <w:r w:rsidDel="00000000" w:rsidR="00000000" w:rsidRPr="00000000">
        <w:rPr>
          <w:rtl w:val="0"/>
        </w:rPr>
      </w:r>
    </w:p>
    <w:p w:rsidR="00000000" w:rsidDel="00000000" w:rsidP="00000000" w:rsidRDefault="00000000" w:rsidRPr="00000000" w14:paraId="00000022">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Ante cualquier controversia, las partes deberán intentar una negociación directa de buena fe por un plazo de quince (15) días hábiles contados desde que la parte reclamante notifique fehacientemente la existencia del conflicto a la otra parte y a OBPT. Esta instancia es de carácter obligatorio y constituye condición de admisibilidad del arbitraje. Solo una vez agotada sin acuerdo, cualquiera de las partes podrá activar el procedimiento arbitral.</w:t>
      </w:r>
      <w:r w:rsidDel="00000000" w:rsidR="00000000" w:rsidRPr="00000000">
        <w:rPr>
          <w:rtl w:val="0"/>
        </w:rPr>
      </w:r>
    </w:p>
    <w:p w:rsidR="00000000" w:rsidDel="00000000" w:rsidP="00000000" w:rsidRDefault="00000000" w:rsidRPr="00000000" w14:paraId="00000023">
      <w:pPr>
        <w:spacing w:after="60" w:before="60" w:lineRule="auto"/>
        <w:rPr/>
      </w:pPr>
      <w:r w:rsidDel="00000000" w:rsidR="00000000" w:rsidRPr="00000000">
        <w:rPr>
          <w:rtl w:val="0"/>
        </w:rPr>
      </w:r>
    </w:p>
    <w:p w:rsidR="00000000" w:rsidDel="00000000" w:rsidP="00000000" w:rsidRDefault="00000000" w:rsidRPr="00000000" w14:paraId="00000024">
      <w:pPr>
        <w:spacing w:after="120" w:before="260" w:lineRule="auto"/>
        <w:rPr/>
      </w:pPr>
      <w:r w:rsidDel="00000000" w:rsidR="00000000" w:rsidRPr="00000000">
        <w:rPr>
          <w:rFonts w:ascii="Arial" w:cs="Arial" w:eastAsia="Arial" w:hAnsi="Arial"/>
          <w:b w:val="1"/>
          <w:bCs w:val="1"/>
          <w:i w:val="0"/>
          <w:iCs w:val="0"/>
          <w:color w:val="2e5fa3"/>
          <w:sz w:val="21"/>
          <w:szCs w:val="21"/>
          <w:u w:val="single"/>
          <w:rtl w:val="0"/>
        </w:rPr>
        <w:t xml:space="preserve">3.2. Etapa 2 — Arbitraje Privado ante el Tribunal OBPT</w:t>
      </w:r>
      <w:r w:rsidDel="00000000" w:rsidR="00000000" w:rsidRPr="00000000">
        <w:rPr>
          <w:rtl w:val="0"/>
        </w:rPr>
      </w:r>
    </w:p>
    <w:p w:rsidR="00000000" w:rsidDel="00000000" w:rsidP="00000000" w:rsidRDefault="00000000" w:rsidRPr="00000000" w14:paraId="00000025">
      <w:pPr>
        <w:spacing w:after="60" w:before="60" w:lineRule="auto"/>
        <w:rPr/>
      </w:pPr>
      <w:r w:rsidDel="00000000" w:rsidR="00000000" w:rsidRPr="00000000">
        <w:rPr>
          <w:rtl w:val="0"/>
        </w:rPr>
      </w:r>
    </w:p>
    <w:p w:rsidR="00000000" w:rsidDel="00000000" w:rsidP="00000000" w:rsidRDefault="00000000" w:rsidRPr="00000000" w14:paraId="00000026">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De no alcanzarse acuerdo en la etapa previa, el conflicto será sometido obligatoriamente a arbitraje privado ante el Tribunal Arbitral de OBPT, conforme a las siguientes reglas:</w:t>
      </w:r>
      <w:r w:rsidDel="00000000" w:rsidR="00000000" w:rsidRPr="00000000">
        <w:rPr>
          <w:rtl w:val="0"/>
        </w:rPr>
      </w:r>
    </w:p>
    <w:p w:rsidR="00000000" w:rsidDel="00000000" w:rsidP="00000000" w:rsidRDefault="00000000" w:rsidRPr="00000000" w14:paraId="00000027">
      <w:pPr>
        <w:spacing w:after="60" w:before="60" w:lineRule="auto"/>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Tribunal Arbitral estará integrado por árbitros </w:t>
      </w:r>
      <w:r w:rsidDel="00000000" w:rsidR="00000000" w:rsidRPr="00000000">
        <w:rPr>
          <w:rtl w:val="0"/>
        </w:rPr>
        <w:t xml:space="preserve">elegidos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una nómina preseleccionada y aprobada por la Comisión Directiva de OBPT, todos ellos árbitros de derecho con conocimiento jurídico especializado en la materia.</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laudo arbitral será dictado con validez resolutoria de conflictos y resultará obligatorio para ambas partes, con los alcances y efectos previstos en el Código Civil y Comercial de la Nación y la Ley N.° 27.449 de Arbitraje Comercial Internacional.</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laudo será recurrible únicamente mediante acción de nulidad o anulación por las siguientes causales taxativas: violación del debido proceso, exceso de competencia del tribunal, corrupción o parcialidad del árbitro, o contradicción con normas de orden público. No procede la revisión del fondo del asunto ni la revaloración de prueba.</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procedimiento arbitral tendrá sede en la Ciudad Autónoma de Buenos Aires.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costos del arbitraje serán soportados conforme al resultado del laudo, salvo acuerdo expreso en contrario entre las partes.</w:t>
      </w:r>
    </w:p>
    <w:p w:rsidR="00000000" w:rsidDel="00000000" w:rsidP="00000000" w:rsidRDefault="00000000" w:rsidRPr="00000000" w14:paraId="0000002D">
      <w:pPr>
        <w:spacing w:after="60" w:before="60" w:lineRule="auto"/>
        <w:rPr/>
      </w:pPr>
      <w:r w:rsidDel="00000000" w:rsidR="00000000" w:rsidRPr="00000000">
        <w:rPr>
          <w:rtl w:val="0"/>
        </w:rPr>
      </w:r>
    </w:p>
    <w:p w:rsidR="00000000" w:rsidDel="00000000" w:rsidP="00000000" w:rsidRDefault="00000000" w:rsidRPr="00000000" w14:paraId="0000002E">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2F">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IV. PATROCINIO LETRADO OBLIGATORIO</w:t>
      </w:r>
      <w:r w:rsidDel="00000000" w:rsidR="00000000" w:rsidRPr="00000000">
        <w:rPr>
          <w:rtl w:val="0"/>
        </w:rPr>
      </w:r>
    </w:p>
    <w:p w:rsidR="00000000" w:rsidDel="00000000" w:rsidP="00000000" w:rsidRDefault="00000000" w:rsidRPr="00000000" w14:paraId="00000030">
      <w:pPr>
        <w:spacing w:after="60" w:before="6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60.0" w:type="dxa"/>
              <w:left w:w="220.0" w:type="dxa"/>
              <w:bottom w:w="160.0" w:type="dxa"/>
              <w:right w:w="220.0" w:type="dxa"/>
            </w:tcMar>
          </w:tcPr>
          <w:p w:rsidR="00000000" w:rsidDel="00000000" w:rsidP="00000000" w:rsidRDefault="00000000" w:rsidRPr="00000000" w14:paraId="00000031">
            <w:pPr>
              <w:spacing w:after="100" w:before="0" w:lineRule="auto"/>
              <w:rPr/>
            </w:pPr>
            <w:r w:rsidDel="00000000" w:rsidR="00000000" w:rsidRPr="00000000">
              <w:rPr>
                <w:rFonts w:ascii="Arial" w:cs="Arial" w:eastAsia="Arial" w:hAnsi="Arial"/>
                <w:b w:val="1"/>
                <w:bCs w:val="1"/>
                <w:i w:val="0"/>
                <w:iCs w:val="0"/>
                <w:color w:val="1a3a6b"/>
                <w:sz w:val="21"/>
                <w:szCs w:val="21"/>
                <w:rtl w:val="0"/>
              </w:rPr>
              <w:t xml:space="preserve">Cláusula de Patrocinio Letrado</w:t>
            </w:r>
            <w:r w:rsidDel="00000000" w:rsidR="00000000" w:rsidRPr="00000000">
              <w:rPr>
                <w:rtl w:val="0"/>
              </w:rPr>
            </w:r>
          </w:p>
          <w:p w:rsidR="00000000" w:rsidDel="00000000" w:rsidP="00000000" w:rsidRDefault="00000000" w:rsidRPr="00000000" w14:paraId="00000032">
            <w:pPr>
              <w:spacing w:after="60" w:before="60" w:lineRule="auto"/>
              <w:rPr/>
            </w:pPr>
            <w:r w:rsidDel="00000000" w:rsidR="00000000" w:rsidRPr="00000000">
              <w:rPr>
                <w:rtl w:val="0"/>
              </w:rPr>
            </w:r>
          </w:p>
          <w:p w:rsidR="00000000" w:rsidDel="00000000" w:rsidP="00000000" w:rsidRDefault="00000000" w:rsidRPr="00000000" w14:paraId="00000033">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Las partes acuerdan que deberán comparecer y actuar en el procedimiento arbitral con patrocinio letrado, bajo pena de inadmisibilidad de sus escritos sin dicha representación.</w:t>
            </w:r>
            <w:r w:rsidDel="00000000" w:rsidR="00000000" w:rsidRPr="00000000">
              <w:rPr>
                <w:rtl w:val="0"/>
              </w:rPr>
            </w:r>
          </w:p>
          <w:p w:rsidR="00000000" w:rsidDel="00000000" w:rsidP="00000000" w:rsidRDefault="00000000" w:rsidRPr="00000000" w14:paraId="00000034">
            <w:pPr>
              <w:spacing w:after="60" w:before="60" w:lineRule="auto"/>
              <w:rPr/>
            </w:pPr>
            <w:r w:rsidDel="00000000" w:rsidR="00000000" w:rsidRPr="00000000">
              <w:rPr>
                <w:rtl w:val="0"/>
              </w:rPr>
            </w:r>
          </w:p>
          <w:p w:rsidR="00000000" w:rsidDel="00000000" w:rsidP="00000000" w:rsidRDefault="00000000" w:rsidRPr="00000000" w14:paraId="00000035">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abogado patrocinante deberá estar matriculado con matrícula válida, sin distinción de jurisdicción provincial o nacional. Se admite matrícula de cualquier Colegio de Abogados de la República Argentina.</w:t>
            </w:r>
            <w:r w:rsidDel="00000000" w:rsidR="00000000" w:rsidRPr="00000000">
              <w:rPr>
                <w:rtl w:val="0"/>
              </w:rPr>
            </w:r>
          </w:p>
          <w:p w:rsidR="00000000" w:rsidDel="00000000" w:rsidP="00000000" w:rsidRDefault="00000000" w:rsidRPr="00000000" w14:paraId="00000036">
            <w:pPr>
              <w:spacing w:after="60" w:before="60" w:lineRule="auto"/>
              <w:rPr/>
            </w:pPr>
            <w:r w:rsidDel="00000000" w:rsidR="00000000" w:rsidRPr="00000000">
              <w:rPr>
                <w:rtl w:val="0"/>
              </w:rPr>
            </w:r>
          </w:p>
          <w:p w:rsidR="00000000" w:rsidDel="00000000" w:rsidP="00000000" w:rsidRDefault="00000000" w:rsidRPr="00000000" w14:paraId="00000037">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Si una parte compareciere sin patrocinio letrado, el Tribunal Arbitral le otorgará un plazo de cinco (5) días hábiles para designar abogado, plazo que podrá ser ampliado por el Tribunal hasta un máximo de diez (10) días hábiles, atendiendo a las circunstancias del caso y los usos y costumbres del foro arbitral. Vencido dicho plazo sin regularización, sus escritos serán declarados inadmisibles.</w:t>
            </w:r>
            <w:r w:rsidDel="00000000" w:rsidR="00000000" w:rsidRPr="00000000">
              <w:rPr>
                <w:rtl w:val="0"/>
              </w:rPr>
            </w:r>
          </w:p>
          <w:p w:rsidR="00000000" w:rsidDel="00000000" w:rsidP="00000000" w:rsidRDefault="00000000" w:rsidRPr="00000000" w14:paraId="00000038">
            <w:pPr>
              <w:spacing w:after="60" w:before="60" w:lineRule="auto"/>
              <w:rPr/>
            </w:pPr>
            <w:r w:rsidDel="00000000" w:rsidR="00000000" w:rsidRPr="00000000">
              <w:rPr>
                <w:rtl w:val="0"/>
              </w:rPr>
            </w:r>
          </w:p>
        </w:tc>
      </w:tr>
    </w:tbl>
    <w:p w:rsidR="00000000" w:rsidDel="00000000" w:rsidP="00000000" w:rsidRDefault="00000000" w:rsidRPr="00000000" w14:paraId="00000039">
      <w:pPr>
        <w:spacing w:after="60" w:before="60" w:lineRule="auto"/>
        <w:rPr/>
      </w:pPr>
      <w:r w:rsidDel="00000000" w:rsidR="00000000" w:rsidRPr="00000000">
        <w:rPr>
          <w:rtl w:val="0"/>
        </w:rPr>
      </w:r>
    </w:p>
    <w:p w:rsidR="00000000" w:rsidDel="00000000" w:rsidP="00000000" w:rsidRDefault="00000000" w:rsidRPr="00000000" w14:paraId="0000003A">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3B">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V. EXCLUSIONES Y LÍMITES DEL ARBITRAJE</w:t>
      </w:r>
      <w:r w:rsidDel="00000000" w:rsidR="00000000" w:rsidRPr="00000000">
        <w:rPr>
          <w:rtl w:val="0"/>
        </w:rPr>
      </w:r>
    </w:p>
    <w:p w:rsidR="00000000" w:rsidDel="00000000" w:rsidP="00000000" w:rsidRDefault="00000000" w:rsidRPr="00000000" w14:paraId="0000003C">
      <w:pPr>
        <w:spacing w:after="60" w:before="60" w:lineRule="auto"/>
        <w:rPr/>
      </w:pPr>
      <w:r w:rsidDel="00000000" w:rsidR="00000000" w:rsidRPr="00000000">
        <w:rPr>
          <w:rtl w:val="0"/>
        </w:rPr>
      </w:r>
    </w:p>
    <w:p w:rsidR="00000000" w:rsidDel="00000000" w:rsidP="00000000" w:rsidRDefault="00000000" w:rsidRPr="00000000" w14:paraId="0000003D">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Quedan excluidas del presente régimen arbitral las siguientes materias:</w:t>
      </w:r>
      <w:r w:rsidDel="00000000" w:rsidR="00000000" w:rsidRPr="00000000">
        <w:rPr>
          <w:rtl w:val="0"/>
        </w:rPr>
      </w:r>
    </w:p>
    <w:p w:rsidR="00000000" w:rsidDel="00000000" w:rsidP="00000000" w:rsidRDefault="00000000" w:rsidRPr="00000000" w14:paraId="0000003E">
      <w:pPr>
        <w:spacing w:after="60" w:before="60" w:lineRule="auto"/>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Cuestiones que por disposición legal expresa deban ser resueltas exclusivamente por la justicia ordinaria.</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Medidas cautelares urgentes que requieran intervención judicial inmediata para preservar derechos. Las partes conservan el derecho de solicitar medidas cautelares ante la justicia ordinaria sin que ello implique renuncia al arbitraje.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Conflictos entre un miembro de OBPT y un tercero ajeno a la Organización.</w:t>
      </w:r>
    </w:p>
    <w:p w:rsidR="00000000" w:rsidDel="00000000" w:rsidP="00000000" w:rsidRDefault="00000000" w:rsidRPr="00000000" w14:paraId="00000042">
      <w:pPr>
        <w:spacing w:after="60" w:before="60" w:lineRule="auto"/>
        <w:rPr/>
      </w:pPr>
      <w:r w:rsidDel="00000000" w:rsidR="00000000" w:rsidRPr="00000000">
        <w:rPr>
          <w:rtl w:val="0"/>
        </w:rPr>
      </w:r>
    </w:p>
    <w:p w:rsidR="00000000" w:rsidDel="00000000" w:rsidP="00000000" w:rsidRDefault="00000000" w:rsidRPr="00000000" w14:paraId="00000043">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44">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VI. DECLARACIÓN FINAL Y FIRMA</w:t>
      </w:r>
      <w:r w:rsidDel="00000000" w:rsidR="00000000" w:rsidRPr="00000000">
        <w:rPr>
          <w:rtl w:val="0"/>
        </w:rPr>
      </w:r>
    </w:p>
    <w:p w:rsidR="00000000" w:rsidDel="00000000" w:rsidP="00000000" w:rsidRDefault="00000000" w:rsidRPr="00000000" w14:paraId="00000045">
      <w:pPr>
        <w:spacing w:after="60" w:before="6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f2f5fa" w:val="clear"/>
            <w:tcMar>
              <w:top w:w="160.0" w:type="dxa"/>
              <w:left w:w="220.0" w:type="dxa"/>
              <w:bottom w:w="160.0" w:type="dxa"/>
              <w:right w:w="220.0" w:type="dxa"/>
            </w:tcMar>
          </w:tcPr>
          <w:p w:rsidR="00000000" w:rsidDel="00000000" w:rsidP="00000000" w:rsidRDefault="00000000" w:rsidRPr="00000000" w14:paraId="00000046">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 agencia suscribiente declara haber leído, comprendido y aceptado en su totalidad el presente instrumento, prestando conformidad libre, expresa e informada con la prórroga de jurisdicción al Tribunal Arbitral de OBPT y con todas las reglas del procedimiento aquí establecidas.</w:t>
            </w:r>
            <w:r w:rsidDel="00000000" w:rsidR="00000000" w:rsidRPr="00000000">
              <w:rPr>
                <w:rtl w:val="0"/>
              </w:rPr>
            </w:r>
          </w:p>
        </w:tc>
      </w:tr>
    </w:tbl>
    <w:p w:rsidR="00000000" w:rsidDel="00000000" w:rsidP="00000000" w:rsidRDefault="00000000" w:rsidRPr="00000000" w14:paraId="00000047">
      <w:pPr>
        <w:spacing w:after="60" w:before="60" w:lineRule="auto"/>
        <w:rPr/>
      </w:pPr>
      <w:r w:rsidDel="00000000" w:rsidR="00000000" w:rsidRPr="00000000">
        <w:rPr>
          <w:rtl w:val="0"/>
        </w:rPr>
      </w:r>
    </w:p>
    <w:p w:rsidR="00000000" w:rsidDel="00000000" w:rsidP="00000000" w:rsidRDefault="00000000" w:rsidRPr="00000000" w14:paraId="00000048">
      <w:pPr>
        <w:spacing w:after="60" w:before="6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0"/>
        <w:gridCol w:w="720"/>
        <w:gridCol w:w="4320"/>
        <w:tblGridChange w:id="0">
          <w:tblGrid>
            <w:gridCol w:w="4320"/>
            <w:gridCol w:w="720"/>
            <w:gridCol w:w="4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9">
            <w:pPr>
              <w:pBdr>
                <w:bottom w:color="2e5fa3" w:space="0" w:sz="6" w:val="single"/>
              </w:pBdr>
              <w:jc w:val="center"/>
              <w:rPr/>
            </w:pPr>
            <w:r w:rsidDel="00000000" w:rsidR="00000000" w:rsidRPr="00000000">
              <w:rPr>
                <w:rtl w:val="0"/>
              </w:rPr>
            </w:r>
          </w:p>
          <w:p w:rsidR="00000000" w:rsidDel="00000000" w:rsidP="00000000" w:rsidRDefault="00000000" w:rsidRPr="00000000" w14:paraId="0000004A">
            <w:pPr>
              <w:spacing w:after="0" w:before="80" w:lineRule="auto"/>
              <w:jc w:val="center"/>
              <w:rPr/>
            </w:pPr>
            <w:r w:rsidDel="00000000" w:rsidR="00000000" w:rsidRPr="00000000">
              <w:rPr>
                <w:rFonts w:ascii="Arial" w:cs="Arial" w:eastAsia="Arial" w:hAnsi="Arial"/>
                <w:b w:val="1"/>
                <w:bCs w:val="1"/>
                <w:i w:val="0"/>
                <w:iCs w:val="0"/>
                <w:color w:val="1a3a6b"/>
                <w:sz w:val="19"/>
                <w:szCs w:val="19"/>
                <w:rtl w:val="0"/>
              </w:rPr>
              <w:t xml:space="preserve">Firma del Representante Legal / Sello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B">
            <w:pPr>
              <w:spacing w:after="80" w:before="80" w:lineRule="auto"/>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C">
            <w:pPr>
              <w:pBdr>
                <w:bottom w:color="2e5fa3" w:space="0" w:sz="6" w:val="single"/>
              </w:pBdr>
              <w:jc w:val="center"/>
              <w:rPr/>
            </w:pPr>
            <w:r w:rsidDel="00000000" w:rsidR="00000000" w:rsidRPr="00000000">
              <w:rPr>
                <w:rtl w:val="0"/>
              </w:rPr>
            </w:r>
          </w:p>
          <w:p w:rsidR="00000000" w:rsidDel="00000000" w:rsidP="00000000" w:rsidRDefault="00000000" w:rsidRPr="00000000" w14:paraId="0000004D">
            <w:pPr>
              <w:spacing w:after="0" w:before="80" w:lineRule="auto"/>
              <w:jc w:val="center"/>
              <w:rPr/>
            </w:pPr>
            <w:r w:rsidDel="00000000" w:rsidR="00000000" w:rsidRPr="00000000">
              <w:rPr>
                <w:rFonts w:ascii="Arial" w:cs="Arial" w:eastAsia="Arial" w:hAnsi="Arial"/>
                <w:b w:val="1"/>
                <w:bCs w:val="1"/>
                <w:i w:val="0"/>
                <w:iCs w:val="0"/>
                <w:color w:val="1a3a6b"/>
                <w:sz w:val="19"/>
                <w:szCs w:val="19"/>
                <w:rtl w:val="0"/>
              </w:rPr>
              <w:t xml:space="preserve">Lugar y Fecha</w:t>
            </w:r>
            <w:r w:rsidDel="00000000" w:rsidR="00000000" w:rsidRPr="00000000">
              <w:rPr>
                <w:rtl w:val="0"/>
              </w:rPr>
            </w:r>
          </w:p>
        </w:tc>
      </w:tr>
    </w:tbl>
    <w:p w:rsidR="00000000" w:rsidDel="00000000" w:rsidP="00000000" w:rsidRDefault="00000000" w:rsidRPr="00000000" w14:paraId="0000004E">
      <w:pPr>
        <w:spacing w:after="60" w:before="60" w:lineRule="auto"/>
        <w:rPr/>
      </w:pPr>
      <w:r w:rsidDel="00000000" w:rsidR="00000000" w:rsidRPr="00000000">
        <w:rPr>
          <w:rtl w:val="0"/>
        </w:rPr>
      </w:r>
    </w:p>
    <w:p w:rsidR="00000000" w:rsidDel="00000000" w:rsidP="00000000" w:rsidRDefault="00000000" w:rsidRPr="00000000" w14:paraId="0000004F">
      <w:pPr>
        <w:spacing w:after="60" w:before="6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0"/>
        <w:gridCol w:w="720"/>
        <w:gridCol w:w="4320"/>
        <w:tblGridChange w:id="0">
          <w:tblGrid>
            <w:gridCol w:w="4320"/>
            <w:gridCol w:w="720"/>
            <w:gridCol w:w="4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0">
            <w:pPr>
              <w:pBdr>
                <w:bottom w:color="2e5fa3" w:space="0" w:sz="6" w:val="single"/>
              </w:pBdr>
              <w:jc w:val="center"/>
              <w:rPr/>
            </w:pPr>
            <w:r w:rsidDel="00000000" w:rsidR="00000000" w:rsidRPr="00000000">
              <w:rPr>
                <w:rtl w:val="0"/>
              </w:rPr>
            </w:r>
          </w:p>
          <w:p w:rsidR="00000000" w:rsidDel="00000000" w:rsidP="00000000" w:rsidRDefault="00000000" w:rsidRPr="00000000" w14:paraId="00000051">
            <w:pPr>
              <w:spacing w:after="0" w:before="80" w:lineRule="auto"/>
              <w:jc w:val="center"/>
              <w:rPr/>
            </w:pPr>
            <w:r w:rsidDel="00000000" w:rsidR="00000000" w:rsidRPr="00000000">
              <w:rPr>
                <w:rFonts w:ascii="Arial" w:cs="Arial" w:eastAsia="Arial" w:hAnsi="Arial"/>
                <w:b w:val="1"/>
                <w:bCs w:val="1"/>
                <w:i w:val="0"/>
                <w:iCs w:val="0"/>
                <w:color w:val="1a3a6b"/>
                <w:sz w:val="19"/>
                <w:szCs w:val="19"/>
                <w:rtl w:val="0"/>
              </w:rPr>
              <w:t xml:space="preserve">Aclaración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spacing w:after="80" w:before="80" w:lineRule="auto"/>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3">
            <w:pPr>
              <w:pBdr>
                <w:bottom w:color="2e5fa3" w:space="0" w:sz="6" w:val="single"/>
              </w:pBdr>
              <w:jc w:val="center"/>
              <w:rPr/>
            </w:pPr>
            <w:r w:rsidDel="00000000" w:rsidR="00000000" w:rsidRPr="00000000">
              <w:rPr>
                <w:rtl w:val="0"/>
              </w:rPr>
            </w:r>
          </w:p>
          <w:p w:rsidR="00000000" w:rsidDel="00000000" w:rsidP="00000000" w:rsidRDefault="00000000" w:rsidRPr="00000000" w14:paraId="00000054">
            <w:pPr>
              <w:spacing w:after="0" w:before="80" w:lineRule="auto"/>
              <w:jc w:val="center"/>
              <w:rPr/>
            </w:pPr>
            <w:r w:rsidDel="00000000" w:rsidR="00000000" w:rsidRPr="00000000">
              <w:rPr>
                <w:rFonts w:ascii="Arial" w:cs="Arial" w:eastAsia="Arial" w:hAnsi="Arial"/>
                <w:b w:val="1"/>
                <w:bCs w:val="1"/>
                <w:i w:val="0"/>
                <w:iCs w:val="0"/>
                <w:color w:val="1a3a6b"/>
                <w:sz w:val="19"/>
                <w:szCs w:val="19"/>
                <w:rtl w:val="0"/>
              </w:rPr>
              <w:t xml:space="preserve">Receptor OBPT / Sello</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6838" w:w="11906" w:orient="portrait"/>
      <w:pgMar w:bottom="1440" w:top="1440" w:left="1296" w:right="129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color="2e5fa3" w:space="1" w:sz="4" w:val="single"/>
      </w:pBdr>
      <w:tabs>
        <w:tab w:val="right" w:leader="none" w:pos="9360"/>
      </w:tabs>
      <w:spacing w:after="0" w:before="60" w:lineRule="auto"/>
      <w:rPr/>
    </w:pPr>
    <w:r w:rsidDel="00000000" w:rsidR="00000000" w:rsidRPr="00000000">
      <w:rPr>
        <w:rFonts w:ascii="Arial" w:cs="Arial" w:eastAsia="Arial" w:hAnsi="Arial"/>
        <w:b w:val="0"/>
        <w:bCs w:val="0"/>
        <w:i w:val="0"/>
        <w:iCs w:val="0"/>
        <w:color w:val="888888"/>
        <w:sz w:val="16"/>
        <w:szCs w:val="16"/>
        <w:rtl w:val="0"/>
      </w:rPr>
      <w:t xml:space="preserve">OBPT — Cláusula Arbitral  |  Documento de firma separadaPágina </w:t>
    </w:r>
    <w:r w:rsidDel="00000000" w:rsidR="00000000" w:rsidRPr="00000000">
      <w:rPr>
        <w:rFonts w:ascii="Arial" w:cs="Arial" w:eastAsia="Arial" w:hAnsi="Arial"/>
        <w:color w:val="888888"/>
        <w:sz w:val="16"/>
        <w:szCs w:val="16"/>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color w:val="888888"/>
        <w:sz w:val="16"/>
        <w:szCs w:val="16"/>
        <w:rtl w:val="0"/>
      </w:rPr>
      <w:t xml:space="preserve"> de </w:t>
    </w:r>
    <w:r w:rsidDel="00000000" w:rsidR="00000000" w:rsidRPr="00000000">
      <w:rPr>
        <w:rFonts w:ascii="Arial" w:cs="Arial" w:eastAsia="Arial" w:hAnsi="Arial"/>
        <w:color w:val="888888"/>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bottom w:color="1a3a6b" w:space="1" w:sz="8" w:val="single"/>
      </w:pBdr>
      <w:spacing w:after="60" w:before="0" w:lineRule="auto"/>
      <w:rPr/>
    </w:pPr>
    <w:r w:rsidDel="00000000" w:rsidR="00000000" w:rsidRPr="00000000">
      <w:rPr>
        <w:rFonts w:ascii="Arial" w:cs="Arial" w:eastAsia="Arial" w:hAnsi="Arial"/>
        <w:b w:val="1"/>
        <w:bCs w:val="1"/>
        <w:i w:val="0"/>
        <w:iCs w:val="0"/>
        <w:color w:val="1a3a6b"/>
        <w:sz w:val="26"/>
        <w:szCs w:val="26"/>
        <w:rtl w:val="0"/>
      </w:rPr>
      <w:t xml:space="preserve">OBPT  </w:t>
    </w:r>
    <w:r w:rsidDel="00000000" w:rsidR="00000000" w:rsidRPr="00000000">
      <w:rPr>
        <w:rFonts w:ascii="Arial" w:cs="Arial" w:eastAsia="Arial" w:hAnsi="Arial"/>
        <w:b w:val="0"/>
        <w:bCs w:val="0"/>
        <w:i w:val="0"/>
        <w:iCs w:val="0"/>
        <w:color w:val="2e5fa3"/>
        <w:sz w:val="17"/>
        <w:szCs w:val="17"/>
        <w:rtl w:val="0"/>
      </w:rPr>
      <w:t xml:space="preserve">Organización de Beneficios de Profesionales de Turismo</w:t>
    </w:r>
    <w:r w:rsidDel="00000000" w:rsidR="00000000" w:rsidRPr="00000000">
      <w:rPr>
        <w:rFonts w:ascii="Arial" w:cs="Arial" w:eastAsia="Arial" w:hAnsi="Arial"/>
        <w:b w:val="0"/>
        <w:bCs w:val="0"/>
        <w:i w:val="0"/>
        <w:iCs w:val="0"/>
        <w:color w:val="888888"/>
        <w:sz w:val="16"/>
        <w:szCs w:val="16"/>
        <w:rtl w:val="0"/>
      </w:rPr>
      <w:t xml:space="preserve">   |   Cláusula Arbitral y Prórroga de Jurisdicción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i+KX5eXwCpFwWDD51+ZGGfMO0A==">CgMxLjA4AHIhMTJBd1Nja3dyaE13TlZCeTVyaGExNTZMNnFTYVNCNDJa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