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before="60" w:lineRule="auto"/>
        <w:jc w:val="left"/>
        <w:rPr/>
      </w:pPr>
      <w:r w:rsidDel="00000000" w:rsidR="00000000" w:rsidRPr="00000000">
        <w:rPr>
          <w:rtl w:val="0"/>
        </w:rPr>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a0b4d0" w:space="0" w:sz="4" w:val="single"/>
              <w:left w:color="a0b4d0" w:space="0" w:sz="4" w:val="single"/>
              <w:bottom w:color="a0b4d0" w:space="0" w:sz="4" w:val="single"/>
              <w:right w:color="a0b4d0" w:space="0" w:sz="4" w:val="single"/>
            </w:tcBorders>
            <w:shd w:fill="1a3a6b" w:val="clear"/>
            <w:tcMar>
              <w:top w:w="360.0" w:type="dxa"/>
              <w:left w:w="400.0" w:type="dxa"/>
              <w:bottom w:w="360.0" w:type="dxa"/>
              <w:right w:w="400.0" w:type="dxa"/>
            </w:tcMar>
          </w:tcPr>
          <w:p w:rsidR="00000000" w:rsidDel="00000000" w:rsidP="00000000" w:rsidRDefault="00000000" w:rsidRPr="00000000" w14:paraId="00000002">
            <w:pPr>
              <w:jc w:val="center"/>
              <w:rPr/>
            </w:pPr>
            <w:r w:rsidDel="00000000" w:rsidR="00000000" w:rsidRPr="00000000">
              <w:rPr>
                <w:rFonts w:ascii="Arial" w:cs="Arial" w:eastAsia="Arial" w:hAnsi="Arial"/>
                <w:b w:val="1"/>
                <w:bCs w:val="1"/>
                <w:i w:val="0"/>
                <w:iCs w:val="0"/>
                <w:color w:val="ffffff"/>
                <w:sz w:val="20"/>
                <w:szCs w:val="20"/>
                <w:rtl w:val="0"/>
              </w:rPr>
              <w:t xml:space="preserve">ORGANIZACIÓN DE BENEFICIOS DE PROFESIONALES DE TURISMO</w:t>
            </w:r>
            <w:r w:rsidDel="00000000" w:rsidR="00000000" w:rsidRPr="00000000">
              <w:rPr>
                <w:rtl w:val="0"/>
              </w:rPr>
            </w:r>
          </w:p>
          <w:p w:rsidR="00000000" w:rsidDel="00000000" w:rsidP="00000000" w:rsidRDefault="00000000" w:rsidRPr="00000000" w14:paraId="00000003">
            <w:pPr>
              <w:spacing w:after="80" w:before="80" w:lineRule="auto"/>
              <w:jc w:val="center"/>
              <w:rPr/>
            </w:pPr>
            <w:r w:rsidDel="00000000" w:rsidR="00000000" w:rsidRPr="00000000">
              <w:rPr>
                <w:rFonts w:ascii="Arial" w:cs="Arial" w:eastAsia="Arial" w:hAnsi="Arial"/>
                <w:b w:val="1"/>
                <w:bCs w:val="1"/>
                <w:i w:val="0"/>
                <w:iCs w:val="0"/>
                <w:color w:val="ffffff"/>
                <w:sz w:val="72"/>
                <w:szCs w:val="72"/>
                <w:rtl w:val="0"/>
              </w:rPr>
              <w:t xml:space="preserve">OBPT</w:t>
            </w:r>
            <w:r w:rsidDel="00000000" w:rsidR="00000000" w:rsidRPr="00000000">
              <w:rPr>
                <w:rtl w:val="0"/>
              </w:rPr>
            </w:r>
          </w:p>
          <w:p w:rsidR="00000000" w:rsidDel="00000000" w:rsidP="00000000" w:rsidRDefault="00000000" w:rsidRPr="00000000" w14:paraId="00000004">
            <w:pPr>
              <w:jc w:val="center"/>
              <w:rPr/>
            </w:pPr>
            <w:r w:rsidDel="00000000" w:rsidR="00000000" w:rsidRPr="00000000">
              <w:rPr>
                <w:rFonts w:ascii="Arial" w:cs="Arial" w:eastAsia="Arial" w:hAnsi="Arial"/>
                <w:b w:val="1"/>
                <w:bCs w:val="1"/>
                <w:i w:val="0"/>
                <w:iCs w:val="0"/>
                <w:color w:val="bcd4f0"/>
                <w:sz w:val="26"/>
                <w:szCs w:val="26"/>
                <w:rtl w:val="0"/>
              </w:rPr>
              <w:t xml:space="preserve">CONVENIO DE MEMBRESÍA PARA OPERADORES MAYORISTAS</w:t>
            </w:r>
            <w:r w:rsidDel="00000000" w:rsidR="00000000" w:rsidRPr="00000000">
              <w:rPr>
                <w:rtl w:val="0"/>
              </w:rPr>
            </w:r>
          </w:p>
          <w:p w:rsidR="00000000" w:rsidDel="00000000" w:rsidP="00000000" w:rsidRDefault="00000000" w:rsidRPr="00000000" w14:paraId="00000005">
            <w:pPr>
              <w:spacing w:after="0" w:before="120" w:lineRule="auto"/>
              <w:jc w:val="center"/>
              <w:rPr/>
            </w:pPr>
            <w:r w:rsidDel="00000000" w:rsidR="00000000" w:rsidRPr="00000000">
              <w:rPr>
                <w:rFonts w:ascii="Arial" w:cs="Arial" w:eastAsia="Arial" w:hAnsi="Arial"/>
                <w:b w:val="0"/>
                <w:bCs w:val="0"/>
                <w:i w:val="0"/>
                <w:iCs w:val="0"/>
                <w:color w:val="a0b8d8"/>
                <w:sz w:val="18"/>
                <w:szCs w:val="18"/>
                <w:rtl w:val="0"/>
              </w:rPr>
              <w:t xml:space="preserve">República Argentina  —  Versión 2026</w:t>
            </w:r>
            <w:r w:rsidDel="00000000" w:rsidR="00000000" w:rsidRPr="00000000">
              <w:rPr>
                <w:rtl w:val="0"/>
              </w:rPr>
            </w:r>
          </w:p>
        </w:tc>
      </w:tr>
    </w:tbl>
    <w:p w:rsidR="00000000" w:rsidDel="00000000" w:rsidP="00000000" w:rsidRDefault="00000000" w:rsidRPr="00000000" w14:paraId="00000006">
      <w:pPr>
        <w:pBdr>
          <w:bottom w:color="2e5fa3" w:space="1" w:sz="6" w:val="single"/>
        </w:pBdr>
        <w:spacing w:after="160" w:before="360" w:lineRule="auto"/>
        <w:rPr/>
      </w:pPr>
      <w:r w:rsidDel="00000000" w:rsidR="00000000" w:rsidRPr="00000000">
        <w:rPr>
          <w:rFonts w:ascii="Arial" w:cs="Arial" w:eastAsia="Arial" w:hAnsi="Arial"/>
          <w:b w:val="1"/>
          <w:bCs w:val="1"/>
          <w:i w:val="0"/>
          <w:iCs w:val="0"/>
          <w:color w:val="1a3a6b"/>
          <w:sz w:val="26"/>
          <w:szCs w:val="26"/>
          <w:rtl w:val="0"/>
        </w:rPr>
        <w:t xml:space="preserve">I. PARTES DEL CONVENIO</w:t>
      </w:r>
      <w:r w:rsidDel="00000000" w:rsidR="00000000" w:rsidRPr="00000000">
        <w:rPr>
          <w:rtl w:val="0"/>
        </w:rPr>
      </w:r>
    </w:p>
    <w:p w:rsidR="00000000" w:rsidDel="00000000" w:rsidP="00000000" w:rsidRDefault="00000000" w:rsidRPr="00000000" w14:paraId="00000007">
      <w:pPr>
        <w:spacing w:after="60" w:before="60" w:lineRule="auto"/>
        <w:jc w:val="left"/>
        <w:rPr/>
      </w:pPr>
      <w:r w:rsidDel="00000000" w:rsidR="00000000" w:rsidRPr="00000000">
        <w:rPr>
          <w:rtl w:val="0"/>
        </w:rPr>
      </w:r>
    </w:p>
    <w:p w:rsidR="00000000" w:rsidDel="00000000" w:rsidP="00000000" w:rsidRDefault="00000000" w:rsidRPr="00000000" w14:paraId="00000008">
      <w:pPr>
        <w:spacing w:after="120" w:before="280" w:lineRule="auto"/>
        <w:rPr/>
      </w:pPr>
      <w:r w:rsidDel="00000000" w:rsidR="00000000" w:rsidRPr="00000000">
        <w:rPr>
          <w:rFonts w:ascii="Arial" w:cs="Arial" w:eastAsia="Arial" w:hAnsi="Arial"/>
          <w:b w:val="1"/>
          <w:bCs w:val="1"/>
          <w:i w:val="0"/>
          <w:iCs w:val="0"/>
          <w:color w:val="2e5fa3"/>
          <w:sz w:val="22"/>
          <w:szCs w:val="22"/>
          <w:u w:val="single"/>
          <w:rtl w:val="0"/>
        </w:rPr>
        <w:t xml:space="preserve">1.1. La Organización</w:t>
      </w:r>
      <w:r w:rsidDel="00000000" w:rsidR="00000000" w:rsidRPr="00000000">
        <w:rPr>
          <w:rtl w:val="0"/>
        </w:rPr>
      </w:r>
    </w:p>
    <w:p w:rsidR="00000000" w:rsidDel="00000000" w:rsidP="00000000" w:rsidRDefault="00000000" w:rsidRPr="00000000" w14:paraId="00000009">
      <w:pPr>
        <w:spacing w:after="80" w:before="80" w:lineRule="auto"/>
        <w:jc w:val="both"/>
        <w:rPr/>
      </w:pPr>
      <w:r w:rsidDel="00000000" w:rsidR="00000000" w:rsidRPr="00000000">
        <w:rPr>
          <w:rFonts w:ascii="Arial" w:cs="Arial" w:eastAsia="Arial" w:hAnsi="Arial"/>
          <w:b w:val="0"/>
          <w:bCs w:val="0"/>
          <w:i w:val="0"/>
          <w:iCs w:val="0"/>
          <w:color w:val="000000"/>
          <w:sz w:val="20"/>
          <w:szCs w:val="20"/>
          <w:rtl w:val="0"/>
        </w:rPr>
        <w:t xml:space="preserve">ORGANIZACIÓN DE BENEFICIOS DE PROFESIONALES DE TURISMO — OBPT, con domicilio en la República Argentina, en adelante «OBPT» o «la Organización».</w:t>
      </w:r>
      <w:r w:rsidDel="00000000" w:rsidR="00000000" w:rsidRPr="00000000">
        <w:rPr>
          <w:rtl w:val="0"/>
        </w:rPr>
      </w:r>
    </w:p>
    <w:p w:rsidR="00000000" w:rsidDel="00000000" w:rsidP="00000000" w:rsidRDefault="00000000" w:rsidRPr="00000000" w14:paraId="0000000A">
      <w:pPr>
        <w:spacing w:after="60" w:before="60" w:lineRule="auto"/>
        <w:jc w:val="left"/>
        <w:rPr/>
      </w:pPr>
      <w:r w:rsidDel="00000000" w:rsidR="00000000" w:rsidRPr="00000000">
        <w:rPr>
          <w:rtl w:val="0"/>
        </w:rPr>
      </w:r>
    </w:p>
    <w:p w:rsidR="00000000" w:rsidDel="00000000" w:rsidP="00000000" w:rsidRDefault="00000000" w:rsidRPr="00000000" w14:paraId="0000000B">
      <w:pPr>
        <w:spacing w:after="120" w:before="280" w:lineRule="auto"/>
        <w:rPr/>
      </w:pPr>
      <w:r w:rsidDel="00000000" w:rsidR="00000000" w:rsidRPr="00000000">
        <w:rPr>
          <w:rFonts w:ascii="Arial" w:cs="Arial" w:eastAsia="Arial" w:hAnsi="Arial"/>
          <w:b w:val="1"/>
          <w:bCs w:val="1"/>
          <w:i w:val="0"/>
          <w:iCs w:val="0"/>
          <w:color w:val="2e5fa3"/>
          <w:sz w:val="22"/>
          <w:szCs w:val="22"/>
          <w:u w:val="single"/>
          <w:rtl w:val="0"/>
        </w:rPr>
        <w:t xml:space="preserve">1.2. El Operador Mayorista</w:t>
      </w:r>
      <w:r w:rsidDel="00000000" w:rsidR="00000000" w:rsidRPr="00000000">
        <w:rPr>
          <w:rtl w:val="0"/>
        </w:rPr>
      </w:r>
    </w:p>
    <w:p w:rsidR="00000000" w:rsidDel="00000000" w:rsidP="00000000" w:rsidRDefault="00000000" w:rsidRPr="00000000" w14:paraId="0000000C">
      <w:pPr>
        <w:spacing w:after="60" w:before="60" w:lineRule="auto"/>
        <w:jc w:val="left"/>
        <w:rPr/>
      </w:pPr>
      <w:r w:rsidDel="00000000" w:rsidR="00000000" w:rsidRPr="00000000">
        <w:rPr>
          <w:rtl w:val="0"/>
        </w:rPr>
      </w:r>
    </w:p>
    <w:tbl>
      <w:tblPr>
        <w:tblStyle w:val="Table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0"/>
        <w:gridCol w:w="2480"/>
        <w:gridCol w:w="160"/>
        <w:gridCol w:w="2200"/>
        <w:gridCol w:w="2320"/>
        <w:tblGridChange w:id="0">
          <w:tblGrid>
            <w:gridCol w:w="2200"/>
            <w:gridCol w:w="2480"/>
            <w:gridCol w:w="160"/>
            <w:gridCol w:w="2200"/>
            <w:gridCol w:w="232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80.0" w:type="dxa"/>
            </w:tcMar>
          </w:tcPr>
          <w:p w:rsidR="00000000" w:rsidDel="00000000" w:rsidP="00000000" w:rsidRDefault="00000000" w:rsidRPr="00000000" w14:paraId="0000000D">
            <w:pPr>
              <w:spacing w:after="80" w:before="80" w:lineRule="auto"/>
              <w:jc w:val="left"/>
              <w:rPr/>
            </w:pPr>
            <w:r w:rsidDel="00000000" w:rsidR="00000000" w:rsidRPr="00000000">
              <w:rPr>
                <w:rFonts w:ascii="Arial" w:cs="Arial" w:eastAsia="Arial" w:hAnsi="Arial"/>
                <w:b w:val="1"/>
                <w:bCs w:val="1"/>
                <w:i w:val="0"/>
                <w:iCs w:val="0"/>
                <w:color w:val="000000"/>
                <w:sz w:val="20"/>
                <w:szCs w:val="20"/>
                <w:rtl w:val="0"/>
              </w:rPr>
              <w:t xml:space="preserve">Razón social:</w:t>
            </w:r>
            <w:r w:rsidDel="00000000" w:rsidR="00000000" w:rsidRPr="00000000">
              <w:rPr>
                <w:rtl w:val="0"/>
              </w:rPr>
            </w:r>
          </w:p>
        </w:tc>
        <w:tc>
          <w:tcPr>
            <w:tcBorders>
              <w:top w:color="000000" w:space="0" w:sz="0" w:val="nil"/>
              <w:left w:color="000000" w:space="0" w:sz="0" w:val="nil"/>
              <w:bottom w:color="2e5fa3" w:space="0" w:sz="6" w:val="single"/>
              <w:right w:color="000000" w:space="0" w:sz="0" w:val="nil"/>
            </w:tcBorders>
            <w:tcMar>
              <w:top w:w="60.0" w:type="dxa"/>
              <w:left w:w="80.0" w:type="dxa"/>
              <w:bottom w:w="60.0" w:type="dxa"/>
              <w:right w:w="0.0" w:type="dxa"/>
            </w:tcMar>
          </w:tcPr>
          <w:p w:rsidR="00000000" w:rsidDel="00000000" w:rsidP="00000000" w:rsidRDefault="00000000" w:rsidRPr="00000000" w14:paraId="0000000E">
            <w:pPr>
              <w:spacing w:after="80" w:before="80" w:lineRule="auto"/>
              <w:jc w:val="lef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F">
            <w:pPr>
              <w:spacing w:after="80" w:before="80" w:lineRule="auto"/>
              <w:jc w:val="lef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60.0" w:type="dxa"/>
              <w:left w:w="0.0" w:type="dxa"/>
              <w:bottom w:w="60.0" w:type="dxa"/>
              <w:right w:w="80.0" w:type="dxa"/>
            </w:tcMar>
          </w:tcPr>
          <w:p w:rsidR="00000000" w:rsidDel="00000000" w:rsidP="00000000" w:rsidRDefault="00000000" w:rsidRPr="00000000" w14:paraId="00000010">
            <w:pPr>
              <w:spacing w:after="80" w:before="80" w:lineRule="auto"/>
              <w:jc w:val="left"/>
              <w:rPr/>
            </w:pPr>
            <w:r w:rsidDel="00000000" w:rsidR="00000000" w:rsidRPr="00000000">
              <w:rPr>
                <w:rFonts w:ascii="Arial" w:cs="Arial" w:eastAsia="Arial" w:hAnsi="Arial"/>
                <w:b w:val="1"/>
                <w:bCs w:val="1"/>
                <w:i w:val="0"/>
                <w:iCs w:val="0"/>
                <w:color w:val="000000"/>
                <w:sz w:val="20"/>
                <w:szCs w:val="20"/>
                <w:rtl w:val="0"/>
              </w:rPr>
              <w:t xml:space="preserve">Denominación social:</w:t>
            </w:r>
            <w:r w:rsidDel="00000000" w:rsidR="00000000" w:rsidRPr="00000000">
              <w:rPr>
                <w:rtl w:val="0"/>
              </w:rPr>
            </w:r>
          </w:p>
        </w:tc>
        <w:tc>
          <w:tcPr>
            <w:tcBorders>
              <w:top w:color="000000" w:space="0" w:sz="0" w:val="nil"/>
              <w:left w:color="000000" w:space="0" w:sz="0" w:val="nil"/>
              <w:bottom w:color="2e5fa3" w:space="0" w:sz="6" w:val="single"/>
              <w:right w:color="000000" w:space="0" w:sz="0" w:val="nil"/>
            </w:tcBorders>
            <w:tcMar>
              <w:top w:w="60.0" w:type="dxa"/>
              <w:left w:w="80.0" w:type="dxa"/>
              <w:bottom w:w="60.0" w:type="dxa"/>
              <w:right w:w="0.0" w:type="dxa"/>
            </w:tcMar>
          </w:tcPr>
          <w:p w:rsidR="00000000" w:rsidDel="00000000" w:rsidP="00000000" w:rsidRDefault="00000000" w:rsidRPr="00000000" w14:paraId="00000011">
            <w:pPr>
              <w:spacing w:after="80" w:before="80" w:lineRule="auto"/>
              <w:jc w:val="left"/>
              <w:rPr/>
            </w:pPr>
            <w:r w:rsidDel="00000000" w:rsidR="00000000" w:rsidRPr="00000000">
              <w:rPr>
                <w:rtl w:val="0"/>
              </w:rPr>
            </w:r>
          </w:p>
        </w:tc>
      </w:tr>
    </w:tbl>
    <w:p w:rsidR="00000000" w:rsidDel="00000000" w:rsidP="00000000" w:rsidRDefault="00000000" w:rsidRPr="00000000" w14:paraId="00000012">
      <w:pPr>
        <w:spacing w:after="60" w:before="60" w:lineRule="auto"/>
        <w:jc w:val="left"/>
        <w:rPr/>
      </w:pPr>
      <w:r w:rsidDel="00000000" w:rsidR="00000000" w:rsidRPr="00000000">
        <w:rPr>
          <w:rtl w:val="0"/>
        </w:rPr>
      </w:r>
    </w:p>
    <w:tbl>
      <w:tblPr>
        <w:tblStyle w:val="Table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0"/>
        <w:gridCol w:w="2480"/>
        <w:gridCol w:w="160"/>
        <w:gridCol w:w="2200"/>
        <w:gridCol w:w="2320"/>
        <w:tblGridChange w:id="0">
          <w:tblGrid>
            <w:gridCol w:w="2200"/>
            <w:gridCol w:w="2480"/>
            <w:gridCol w:w="160"/>
            <w:gridCol w:w="2200"/>
            <w:gridCol w:w="232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80.0" w:type="dxa"/>
            </w:tcMar>
          </w:tcPr>
          <w:p w:rsidR="00000000" w:rsidDel="00000000" w:rsidP="00000000" w:rsidRDefault="00000000" w:rsidRPr="00000000" w14:paraId="00000013">
            <w:pPr>
              <w:spacing w:after="80" w:before="80" w:lineRule="auto"/>
              <w:jc w:val="left"/>
              <w:rPr/>
            </w:pPr>
            <w:r w:rsidDel="00000000" w:rsidR="00000000" w:rsidRPr="00000000">
              <w:rPr>
                <w:rFonts w:ascii="Arial" w:cs="Arial" w:eastAsia="Arial" w:hAnsi="Arial"/>
                <w:b w:val="1"/>
                <w:bCs w:val="1"/>
                <w:i w:val="0"/>
                <w:iCs w:val="0"/>
                <w:color w:val="000000"/>
                <w:sz w:val="20"/>
                <w:szCs w:val="20"/>
                <w:rtl w:val="0"/>
              </w:rPr>
              <w:t xml:space="preserve">Teléfono:</w:t>
            </w:r>
            <w:r w:rsidDel="00000000" w:rsidR="00000000" w:rsidRPr="00000000">
              <w:rPr>
                <w:rtl w:val="0"/>
              </w:rPr>
            </w:r>
          </w:p>
        </w:tc>
        <w:tc>
          <w:tcPr>
            <w:tcBorders>
              <w:top w:color="000000" w:space="0" w:sz="0" w:val="nil"/>
              <w:left w:color="000000" w:space="0" w:sz="0" w:val="nil"/>
              <w:bottom w:color="2e5fa3" w:space="0" w:sz="6" w:val="single"/>
              <w:right w:color="000000" w:space="0" w:sz="0" w:val="nil"/>
            </w:tcBorders>
            <w:tcMar>
              <w:top w:w="60.0" w:type="dxa"/>
              <w:left w:w="80.0" w:type="dxa"/>
              <w:bottom w:w="60.0" w:type="dxa"/>
              <w:right w:w="0.0" w:type="dxa"/>
            </w:tcMar>
          </w:tcPr>
          <w:p w:rsidR="00000000" w:rsidDel="00000000" w:rsidP="00000000" w:rsidRDefault="00000000" w:rsidRPr="00000000" w14:paraId="00000014">
            <w:pPr>
              <w:spacing w:after="80" w:before="80" w:lineRule="auto"/>
              <w:jc w:val="lef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5">
            <w:pPr>
              <w:spacing w:after="80" w:before="80" w:lineRule="auto"/>
              <w:jc w:val="lef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60.0" w:type="dxa"/>
              <w:left w:w="0.0" w:type="dxa"/>
              <w:bottom w:w="60.0" w:type="dxa"/>
              <w:right w:w="80.0" w:type="dxa"/>
            </w:tcMar>
          </w:tcPr>
          <w:p w:rsidR="00000000" w:rsidDel="00000000" w:rsidP="00000000" w:rsidRDefault="00000000" w:rsidRPr="00000000" w14:paraId="00000016">
            <w:pPr>
              <w:spacing w:after="80" w:before="80" w:lineRule="auto"/>
              <w:jc w:val="left"/>
              <w:rPr/>
            </w:pPr>
            <w:r w:rsidDel="00000000" w:rsidR="00000000" w:rsidRPr="00000000">
              <w:rPr>
                <w:rFonts w:ascii="Arial" w:cs="Arial" w:eastAsia="Arial" w:hAnsi="Arial"/>
                <w:b w:val="1"/>
                <w:bCs w:val="1"/>
                <w:i w:val="0"/>
                <w:iCs w:val="0"/>
                <w:color w:val="000000"/>
                <w:sz w:val="20"/>
                <w:szCs w:val="20"/>
                <w:rtl w:val="0"/>
              </w:rPr>
              <w:t xml:space="preserve">Correo electrónico:</w:t>
            </w:r>
            <w:r w:rsidDel="00000000" w:rsidR="00000000" w:rsidRPr="00000000">
              <w:rPr>
                <w:rtl w:val="0"/>
              </w:rPr>
            </w:r>
          </w:p>
        </w:tc>
        <w:tc>
          <w:tcPr>
            <w:tcBorders>
              <w:top w:color="000000" w:space="0" w:sz="0" w:val="nil"/>
              <w:left w:color="000000" w:space="0" w:sz="0" w:val="nil"/>
              <w:bottom w:color="2e5fa3" w:space="0" w:sz="6" w:val="single"/>
              <w:right w:color="000000" w:space="0" w:sz="0" w:val="nil"/>
            </w:tcBorders>
            <w:tcMar>
              <w:top w:w="60.0" w:type="dxa"/>
              <w:left w:w="80.0" w:type="dxa"/>
              <w:bottom w:w="60.0" w:type="dxa"/>
              <w:right w:w="0.0" w:type="dxa"/>
            </w:tcMar>
          </w:tcPr>
          <w:p w:rsidR="00000000" w:rsidDel="00000000" w:rsidP="00000000" w:rsidRDefault="00000000" w:rsidRPr="00000000" w14:paraId="00000017">
            <w:pPr>
              <w:spacing w:after="80" w:before="80" w:lineRule="auto"/>
              <w:jc w:val="left"/>
              <w:rPr/>
            </w:pPr>
            <w:r w:rsidDel="00000000" w:rsidR="00000000" w:rsidRPr="00000000">
              <w:rPr>
                <w:rtl w:val="0"/>
              </w:rPr>
            </w:r>
          </w:p>
        </w:tc>
      </w:tr>
    </w:tbl>
    <w:p w:rsidR="00000000" w:rsidDel="00000000" w:rsidP="00000000" w:rsidRDefault="00000000" w:rsidRPr="00000000" w14:paraId="00000018">
      <w:pPr>
        <w:spacing w:after="60" w:before="60" w:lineRule="auto"/>
        <w:jc w:val="left"/>
        <w:rPr/>
      </w:pPr>
      <w:r w:rsidDel="00000000" w:rsidR="00000000" w:rsidRPr="00000000">
        <w:rPr>
          <w:rtl w:val="0"/>
        </w:rPr>
      </w:r>
    </w:p>
    <w:tbl>
      <w:tblPr>
        <w:tblStyle w:val="Table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120.0" w:type="dxa"/>
            </w:tcMar>
          </w:tcPr>
          <w:p w:rsidR="00000000" w:rsidDel="00000000" w:rsidP="00000000" w:rsidRDefault="00000000" w:rsidRPr="00000000" w14:paraId="00000019">
            <w:pPr>
              <w:spacing w:after="80" w:before="80" w:lineRule="auto"/>
              <w:jc w:val="left"/>
              <w:rPr/>
            </w:pPr>
            <w:r w:rsidDel="00000000" w:rsidR="00000000" w:rsidRPr="00000000">
              <w:rPr>
                <w:rFonts w:ascii="Arial" w:cs="Arial" w:eastAsia="Arial" w:hAnsi="Arial"/>
                <w:b w:val="1"/>
                <w:bCs w:val="1"/>
                <w:i w:val="0"/>
                <w:iCs w:val="0"/>
                <w:color w:val="000000"/>
                <w:sz w:val="20"/>
                <w:szCs w:val="20"/>
                <w:rtl w:val="0"/>
              </w:rPr>
              <w:t xml:space="preserve">CUIT:</w:t>
            </w:r>
            <w:r w:rsidDel="00000000" w:rsidR="00000000" w:rsidRPr="00000000">
              <w:rPr>
                <w:rtl w:val="0"/>
              </w:rPr>
            </w:r>
          </w:p>
        </w:tc>
        <w:tc>
          <w:tcPr>
            <w:tcBorders>
              <w:top w:color="000000" w:space="0" w:sz="0" w:val="nil"/>
              <w:left w:color="000000" w:space="0" w:sz="0" w:val="nil"/>
              <w:bottom w:color="2e5fa3" w:space="0" w:sz="6" w:val="single"/>
              <w:right w:color="000000" w:space="0" w:sz="0" w:val="nil"/>
            </w:tcBorders>
            <w:tcMar>
              <w:top w:w="60.0" w:type="dxa"/>
              <w:left w:w="80.0" w:type="dxa"/>
              <w:bottom w:w="60.0" w:type="dxa"/>
              <w:right w:w="0.0" w:type="dxa"/>
            </w:tcMar>
          </w:tcPr>
          <w:p w:rsidR="00000000" w:rsidDel="00000000" w:rsidP="00000000" w:rsidRDefault="00000000" w:rsidRPr="00000000" w14:paraId="0000001A">
            <w:pPr>
              <w:spacing w:after="80" w:before="80" w:lineRule="auto"/>
              <w:jc w:val="left"/>
              <w:rPr/>
            </w:pPr>
            <w:r w:rsidDel="00000000" w:rsidR="00000000" w:rsidRPr="00000000">
              <w:rPr>
                <w:rtl w:val="0"/>
              </w:rPr>
            </w:r>
          </w:p>
        </w:tc>
      </w:tr>
    </w:tbl>
    <w:p w:rsidR="00000000" w:rsidDel="00000000" w:rsidP="00000000" w:rsidRDefault="00000000" w:rsidRPr="00000000" w14:paraId="0000001B">
      <w:pPr>
        <w:spacing w:after="60" w:before="60" w:lineRule="auto"/>
        <w:jc w:val="left"/>
        <w:rPr/>
      </w:pPr>
      <w:r w:rsidDel="00000000" w:rsidR="00000000" w:rsidRPr="00000000">
        <w:rPr>
          <w:rtl w:val="0"/>
        </w:rPr>
      </w:r>
    </w:p>
    <w:p w:rsidR="00000000" w:rsidDel="00000000" w:rsidP="00000000" w:rsidRDefault="00000000" w:rsidRPr="00000000" w14:paraId="0000001C">
      <w:pPr>
        <w:pBdr>
          <w:bottom w:color="2e5fa3" w:space="1" w:sz="4" w:val="single"/>
        </w:pBdr>
        <w:spacing w:after="160" w:before="160" w:lineRule="auto"/>
        <w:rPr/>
      </w:pPr>
      <w:r w:rsidDel="00000000" w:rsidR="00000000" w:rsidRPr="00000000">
        <w:rPr>
          <w:rtl w:val="0"/>
        </w:rPr>
      </w:r>
    </w:p>
    <w:p w:rsidR="00000000" w:rsidDel="00000000" w:rsidP="00000000" w:rsidRDefault="00000000" w:rsidRPr="00000000" w14:paraId="0000001D">
      <w:pPr>
        <w:pBdr>
          <w:bottom w:color="2e5fa3" w:space="1" w:sz="6" w:val="single"/>
        </w:pBdr>
        <w:spacing w:after="160" w:before="360" w:lineRule="auto"/>
        <w:rPr/>
      </w:pPr>
      <w:r w:rsidDel="00000000" w:rsidR="00000000" w:rsidRPr="00000000">
        <w:rPr>
          <w:rFonts w:ascii="Arial" w:cs="Arial" w:eastAsia="Arial" w:hAnsi="Arial"/>
          <w:b w:val="1"/>
          <w:bCs w:val="1"/>
          <w:i w:val="0"/>
          <w:iCs w:val="0"/>
          <w:color w:val="1a3a6b"/>
          <w:sz w:val="26"/>
          <w:szCs w:val="26"/>
          <w:rtl w:val="0"/>
        </w:rPr>
        <w:t xml:space="preserve">II. OBJETO DEL CONVENIO</w:t>
      </w:r>
      <w:r w:rsidDel="00000000" w:rsidR="00000000" w:rsidRPr="00000000">
        <w:rPr>
          <w:rtl w:val="0"/>
        </w:rPr>
      </w:r>
    </w:p>
    <w:p w:rsidR="00000000" w:rsidDel="00000000" w:rsidP="00000000" w:rsidRDefault="00000000" w:rsidRPr="00000000" w14:paraId="0000001E">
      <w:pPr>
        <w:spacing w:after="60" w:before="60" w:lineRule="auto"/>
        <w:jc w:val="left"/>
        <w:rPr/>
      </w:pPr>
      <w:r w:rsidDel="00000000" w:rsidR="00000000" w:rsidRPr="00000000">
        <w:rPr>
          <w:rtl w:val="0"/>
        </w:rPr>
      </w:r>
    </w:p>
    <w:p w:rsidR="00000000" w:rsidDel="00000000" w:rsidP="00000000" w:rsidRDefault="00000000" w:rsidRPr="00000000" w14:paraId="0000001F">
      <w:pPr>
        <w:spacing w:after="80" w:before="80" w:lineRule="auto"/>
        <w:jc w:val="both"/>
        <w:rPr/>
      </w:pPr>
      <w:r w:rsidDel="00000000" w:rsidR="00000000" w:rsidRPr="00000000">
        <w:rPr>
          <w:rFonts w:ascii="Arial" w:cs="Arial" w:eastAsia="Arial" w:hAnsi="Arial"/>
          <w:b w:val="0"/>
          <w:bCs w:val="0"/>
          <w:i w:val="0"/>
          <w:iCs w:val="0"/>
          <w:color w:val="000000"/>
          <w:sz w:val="20"/>
          <w:szCs w:val="20"/>
          <w:rtl w:val="0"/>
        </w:rPr>
        <w:t xml:space="preserve">El presente Convenio regula la incorporación del Operador Mayorista a OBPT como miembro de la categoría Mayorista, con el objetivo de fortalecer la cadena comercial turística y generar valor comercial real para toda la red.</w:t>
      </w:r>
      <w:r w:rsidDel="00000000" w:rsidR="00000000" w:rsidRPr="00000000">
        <w:rPr>
          <w:rtl w:val="0"/>
        </w:rPr>
      </w:r>
    </w:p>
    <w:p w:rsidR="00000000" w:rsidDel="00000000" w:rsidP="00000000" w:rsidRDefault="00000000" w:rsidRPr="00000000" w14:paraId="00000020">
      <w:pPr>
        <w:pBdr>
          <w:bottom w:color="2e5fa3" w:space="1" w:sz="4" w:val="single"/>
        </w:pBdr>
        <w:spacing w:after="160" w:before="160" w:lineRule="auto"/>
        <w:rPr/>
      </w:pPr>
      <w:r w:rsidDel="00000000" w:rsidR="00000000" w:rsidRPr="00000000">
        <w:rPr>
          <w:rtl w:val="0"/>
        </w:rPr>
      </w:r>
    </w:p>
    <w:p w:rsidR="00000000" w:rsidDel="00000000" w:rsidP="00000000" w:rsidRDefault="00000000" w:rsidRPr="00000000" w14:paraId="00000021">
      <w:pPr>
        <w:pBdr>
          <w:bottom w:color="2e5fa3" w:space="1" w:sz="6" w:val="single"/>
        </w:pBdr>
        <w:spacing w:after="160" w:before="360" w:lineRule="auto"/>
        <w:rPr/>
      </w:pPr>
      <w:r w:rsidDel="00000000" w:rsidR="00000000" w:rsidRPr="00000000">
        <w:rPr>
          <w:rFonts w:ascii="Arial" w:cs="Arial" w:eastAsia="Arial" w:hAnsi="Arial"/>
          <w:b w:val="1"/>
          <w:bCs w:val="1"/>
          <w:i w:val="0"/>
          <w:iCs w:val="0"/>
          <w:color w:val="1a3a6b"/>
          <w:sz w:val="26"/>
          <w:szCs w:val="26"/>
          <w:rtl w:val="0"/>
        </w:rPr>
        <w:t xml:space="preserve">III. BENEFICIOS DEL OPERADOR MAYORISTA POR SER MIEMBRO DE OBPT</w:t>
      </w:r>
      <w:r w:rsidDel="00000000" w:rsidR="00000000" w:rsidRPr="00000000">
        <w:rPr>
          <w:rtl w:val="0"/>
        </w:rPr>
      </w:r>
    </w:p>
    <w:p w:rsidR="00000000" w:rsidDel="00000000" w:rsidP="00000000" w:rsidRDefault="00000000" w:rsidRPr="00000000" w14:paraId="00000022">
      <w:pPr>
        <w:spacing w:after="60" w:before="60" w:lineRule="auto"/>
        <w:jc w:val="left"/>
        <w:rPr/>
      </w:pPr>
      <w:r w:rsidDel="00000000" w:rsidR="00000000" w:rsidRPr="00000000">
        <w:rPr>
          <w:rtl w:val="0"/>
        </w:rPr>
      </w:r>
    </w:p>
    <w:p w:rsidR="00000000" w:rsidDel="00000000" w:rsidP="00000000" w:rsidRDefault="00000000" w:rsidRPr="00000000" w14:paraId="00000023">
      <w:pPr>
        <w:spacing w:after="80" w:before="80" w:lineRule="auto"/>
        <w:jc w:val="both"/>
        <w:rPr/>
      </w:pPr>
      <w:r w:rsidDel="00000000" w:rsidR="00000000" w:rsidRPr="00000000">
        <w:rPr>
          <w:rFonts w:ascii="Arial" w:cs="Arial" w:eastAsia="Arial" w:hAnsi="Arial"/>
          <w:b w:val="0"/>
          <w:bCs w:val="0"/>
          <w:i w:val="0"/>
          <w:iCs w:val="0"/>
          <w:color w:val="000000"/>
          <w:sz w:val="20"/>
          <w:szCs w:val="20"/>
          <w:rtl w:val="0"/>
        </w:rPr>
        <w:t xml:space="preserve">La incorporación como Mayorista activo de OBPT otorga los siguientes beneficios exclusivos:</w:t>
      </w:r>
      <w:r w:rsidDel="00000000" w:rsidR="00000000" w:rsidRPr="00000000">
        <w:rPr>
          <w:rtl w:val="0"/>
        </w:rPr>
      </w:r>
    </w:p>
    <w:p w:rsidR="00000000" w:rsidDel="00000000" w:rsidP="00000000" w:rsidRDefault="00000000" w:rsidRPr="00000000" w14:paraId="00000024">
      <w:pPr>
        <w:spacing w:after="60" w:before="60" w:lineRule="auto"/>
        <w:jc w:val="left"/>
        <w:rPr/>
      </w:pPr>
      <w:r w:rsidDel="00000000" w:rsidR="00000000" w:rsidRPr="00000000">
        <w:rPr>
          <w:rtl w:val="0"/>
        </w:rPr>
      </w:r>
    </w:p>
    <w:tbl>
      <w:tblPr>
        <w:tblStyle w:val="Table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a0b4d0" w:space="0" w:sz="4" w:val="single"/>
              <w:left w:color="a0b4d0" w:space="0" w:sz="4" w:val="single"/>
              <w:bottom w:color="a0b4d0" w:space="0" w:sz="4" w:val="single"/>
              <w:right w:color="a0b4d0" w:space="0" w:sz="4" w:val="single"/>
            </w:tcBorders>
            <w:shd w:fill="d6e4f7" w:val="clear"/>
            <w:tcMar>
              <w:top w:w="160.0" w:type="dxa"/>
              <w:left w:w="200.0" w:type="dxa"/>
              <w:bottom w:w="160.0" w:type="dxa"/>
              <w:right w:w="200.0" w:type="dxa"/>
            </w:tcMar>
          </w:tcPr>
          <w:p w:rsidR="00000000" w:rsidDel="00000000" w:rsidP="00000000" w:rsidRDefault="00000000" w:rsidRPr="00000000" w14:paraId="00000025">
            <w:pPr>
              <w:spacing w:after="80" w:before="0" w:lineRule="auto"/>
              <w:jc w:val="both"/>
              <w:rPr/>
            </w:pPr>
            <w:r w:rsidDel="00000000" w:rsidR="00000000" w:rsidRPr="00000000">
              <w:rPr>
                <w:rFonts w:ascii="Arial" w:cs="Arial" w:eastAsia="Arial" w:hAnsi="Arial"/>
                <w:b w:val="1"/>
                <w:bCs w:val="1"/>
                <w:i w:val="0"/>
                <w:iCs w:val="0"/>
                <w:color w:val="1a3a6b"/>
                <w:sz w:val="21"/>
                <w:szCs w:val="21"/>
                <w:rtl w:val="0"/>
              </w:rPr>
              <w:t xml:space="preserve">3.1. Visibilidad y Marketing</w:t>
            </w:r>
            <w:r w:rsidDel="00000000" w:rsidR="00000000" w:rsidRPr="00000000">
              <w:rPr>
                <w:rtl w:val="0"/>
              </w:rPr>
            </w:r>
          </w:p>
          <w:p w:rsidR="00000000" w:rsidDel="00000000" w:rsidP="00000000" w:rsidRDefault="00000000" w:rsidRPr="00000000" w14:paraId="0000002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Inclusión en flyers, materiales publicitarios y campañas de marketing de OBPT, con perfil destacado en la web oficial y enlaces a sus canales de venta.</w:t>
            </w:r>
            <w:r w:rsidDel="00000000" w:rsidR="00000000" w:rsidRPr="00000000">
              <w:rPr>
                <w:rtl w:val="0"/>
              </w:rPr>
            </w:r>
          </w:p>
          <w:p w:rsidR="00000000" w:rsidDel="00000000" w:rsidP="00000000" w:rsidRDefault="00000000" w:rsidRPr="00000000" w14:paraId="0000002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Participación prioritaria en las campañas Travel Sale, y uso autorizado del sello «Operador Mayorista Miembro OBPT» conforme al Manual de Identidad.</w:t>
            </w:r>
            <w:r w:rsidDel="00000000" w:rsidR="00000000" w:rsidRPr="00000000">
              <w:rPr>
                <w:rtl w:val="0"/>
              </w:rPr>
            </w:r>
          </w:p>
        </w:tc>
      </w:tr>
    </w:tbl>
    <w:p w:rsidR="00000000" w:rsidDel="00000000" w:rsidP="00000000" w:rsidRDefault="00000000" w:rsidRPr="00000000" w14:paraId="00000028">
      <w:pPr>
        <w:spacing w:after="60" w:before="60" w:lineRule="auto"/>
        <w:jc w:val="both"/>
        <w:rPr/>
      </w:pPr>
      <w:r w:rsidDel="00000000" w:rsidR="00000000" w:rsidRPr="00000000">
        <w:rPr>
          <w:rtl w:val="0"/>
        </w:rPr>
      </w:r>
    </w:p>
    <w:tbl>
      <w:tblPr>
        <w:tblStyle w:val="Table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a0b4d0" w:space="0" w:sz="4" w:val="single"/>
              <w:left w:color="a0b4d0" w:space="0" w:sz="4" w:val="single"/>
              <w:bottom w:color="a0b4d0" w:space="0" w:sz="4" w:val="single"/>
              <w:right w:color="a0b4d0" w:space="0" w:sz="4" w:val="single"/>
            </w:tcBorders>
            <w:shd w:fill="d6e4f7" w:val="clear"/>
            <w:tcMar>
              <w:top w:w="160.0" w:type="dxa"/>
              <w:left w:w="200.0" w:type="dxa"/>
              <w:bottom w:w="160.0" w:type="dxa"/>
              <w:right w:w="200.0" w:type="dxa"/>
            </w:tcMar>
          </w:tcPr>
          <w:p w:rsidR="00000000" w:rsidDel="00000000" w:rsidP="00000000" w:rsidRDefault="00000000" w:rsidRPr="00000000" w14:paraId="00000029">
            <w:pPr>
              <w:spacing w:after="80" w:before="0" w:lineRule="auto"/>
              <w:jc w:val="both"/>
              <w:rPr/>
            </w:pPr>
            <w:r w:rsidDel="00000000" w:rsidR="00000000" w:rsidRPr="00000000">
              <w:rPr>
                <w:rFonts w:ascii="Arial" w:cs="Arial" w:eastAsia="Arial" w:hAnsi="Arial"/>
                <w:b w:val="1"/>
                <w:bCs w:val="1"/>
                <w:i w:val="0"/>
                <w:iCs w:val="0"/>
                <w:color w:val="1a3a6b"/>
                <w:sz w:val="21"/>
                <w:szCs w:val="21"/>
                <w:rtl w:val="0"/>
              </w:rPr>
              <w:t xml:space="preserve">3.2. Acceso a la Red Comercial</w:t>
            </w:r>
            <w:r w:rsidDel="00000000" w:rsidR="00000000" w:rsidRPr="00000000">
              <w:rPr>
                <w:rtl w:val="0"/>
              </w:rPr>
            </w:r>
          </w:p>
          <w:p w:rsidR="00000000" w:rsidDel="00000000" w:rsidP="00000000" w:rsidRDefault="00000000" w:rsidRPr="00000000" w14:paraId="0000002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Acceso directo a la red federal de agencias minoristas, receptivos y profesionales de OBPT, con posibilidad de ofrecer condiciones comerciales diferenciadas que generen ventas y fidelización.</w:t>
            </w:r>
            <w:r w:rsidDel="00000000" w:rsidR="00000000" w:rsidRPr="00000000">
              <w:rPr>
                <w:rtl w:val="0"/>
              </w:rPr>
            </w:r>
          </w:p>
          <w:p w:rsidR="00000000" w:rsidDel="00000000" w:rsidP="00000000" w:rsidRDefault="00000000" w:rsidRPr="00000000" w14:paraId="0000002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Presencia con stand propio en las convenciones anuales de OBPT, conectando directamente con toda la red.</w:t>
            </w:r>
            <w:r w:rsidDel="00000000" w:rsidR="00000000" w:rsidRPr="00000000">
              <w:rPr>
                <w:rtl w:val="0"/>
              </w:rPr>
            </w:r>
          </w:p>
        </w:tc>
      </w:tr>
    </w:tbl>
    <w:p w:rsidR="00000000" w:rsidDel="00000000" w:rsidP="00000000" w:rsidRDefault="00000000" w:rsidRPr="00000000" w14:paraId="0000002C">
      <w:pPr>
        <w:spacing w:after="60" w:before="60" w:lineRule="auto"/>
        <w:jc w:val="both"/>
        <w:rPr/>
      </w:pPr>
      <w:r w:rsidDel="00000000" w:rsidR="00000000" w:rsidRPr="00000000">
        <w:rPr>
          <w:rtl w:val="0"/>
        </w:rPr>
      </w:r>
    </w:p>
    <w:tbl>
      <w:tblPr>
        <w:tblStyle w:val="Table7"/>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a0b4d0" w:space="0" w:sz="4" w:val="single"/>
              <w:left w:color="a0b4d0" w:space="0" w:sz="4" w:val="single"/>
              <w:bottom w:color="a0b4d0" w:space="0" w:sz="4" w:val="single"/>
              <w:right w:color="a0b4d0" w:space="0" w:sz="4" w:val="single"/>
            </w:tcBorders>
            <w:shd w:fill="d6e4f7" w:val="clear"/>
            <w:tcMar>
              <w:top w:w="160.0" w:type="dxa"/>
              <w:left w:w="200.0" w:type="dxa"/>
              <w:bottom w:w="160.0" w:type="dxa"/>
              <w:right w:w="200.0" w:type="dxa"/>
            </w:tcMar>
          </w:tcPr>
          <w:p w:rsidR="00000000" w:rsidDel="00000000" w:rsidP="00000000" w:rsidRDefault="00000000" w:rsidRPr="00000000" w14:paraId="0000002D">
            <w:pPr>
              <w:spacing w:after="80" w:before="0" w:lineRule="auto"/>
              <w:jc w:val="both"/>
              <w:rPr/>
            </w:pPr>
            <w:r w:rsidDel="00000000" w:rsidR="00000000" w:rsidRPr="00000000">
              <w:rPr>
                <w:rFonts w:ascii="Arial" w:cs="Arial" w:eastAsia="Arial" w:hAnsi="Arial"/>
                <w:b w:val="1"/>
                <w:bCs w:val="1"/>
                <w:i w:val="0"/>
                <w:iCs w:val="0"/>
                <w:color w:val="1a3a6b"/>
                <w:sz w:val="21"/>
                <w:szCs w:val="21"/>
                <w:rtl w:val="0"/>
              </w:rPr>
              <w:t xml:space="preserve">3.3. FAM Tours y Alianzas Estratégicas</w:t>
            </w:r>
            <w:r w:rsidDel="00000000" w:rsidR="00000000" w:rsidRPr="00000000">
              <w:rPr>
                <w:rtl w:val="0"/>
              </w:rPr>
            </w:r>
          </w:p>
          <w:p w:rsidR="00000000" w:rsidDel="00000000" w:rsidP="00000000" w:rsidRDefault="00000000" w:rsidRPr="00000000" w14:paraId="0000002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Plataforma institucional para organizar FAM Tours exclusivos para la red OBPT, con posibilidad de instrumentar el punto adicional de comisión post-FAM Tour conforme al Anexo I.</w:t>
            </w:r>
            <w:r w:rsidDel="00000000" w:rsidR="00000000" w:rsidRPr="00000000">
              <w:rPr>
                <w:rtl w:val="0"/>
              </w:rPr>
            </w:r>
          </w:p>
        </w:tc>
      </w:tr>
    </w:tbl>
    <w:p w:rsidR="00000000" w:rsidDel="00000000" w:rsidP="00000000" w:rsidRDefault="00000000" w:rsidRPr="00000000" w14:paraId="0000002F">
      <w:pPr>
        <w:spacing w:after="60" w:before="60" w:lineRule="auto"/>
        <w:jc w:val="both"/>
        <w:rPr/>
      </w:pPr>
      <w:r w:rsidDel="00000000" w:rsidR="00000000" w:rsidRPr="00000000">
        <w:rPr>
          <w:rtl w:val="0"/>
        </w:rPr>
      </w:r>
    </w:p>
    <w:tbl>
      <w:tblPr>
        <w:tblStyle w:val="Table8"/>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a0b4d0" w:space="0" w:sz="4" w:val="single"/>
              <w:left w:color="a0b4d0" w:space="0" w:sz="4" w:val="single"/>
              <w:bottom w:color="a0b4d0" w:space="0" w:sz="4" w:val="single"/>
              <w:right w:color="a0b4d0" w:space="0" w:sz="4" w:val="single"/>
            </w:tcBorders>
            <w:shd w:fill="d6e4f7" w:val="clear"/>
            <w:tcMar>
              <w:top w:w="160.0" w:type="dxa"/>
              <w:left w:w="200.0" w:type="dxa"/>
              <w:bottom w:w="160.0" w:type="dxa"/>
              <w:right w:w="200.0" w:type="dxa"/>
            </w:tcMar>
          </w:tcPr>
          <w:p w:rsidR="00000000" w:rsidDel="00000000" w:rsidP="00000000" w:rsidRDefault="00000000" w:rsidRPr="00000000" w14:paraId="00000030">
            <w:pPr>
              <w:spacing w:after="80" w:before="0" w:lineRule="auto"/>
              <w:jc w:val="both"/>
              <w:rPr/>
            </w:pPr>
            <w:r w:rsidDel="00000000" w:rsidR="00000000" w:rsidRPr="00000000">
              <w:rPr>
                <w:rFonts w:ascii="Arial" w:cs="Arial" w:eastAsia="Arial" w:hAnsi="Arial"/>
                <w:b w:val="1"/>
                <w:bCs w:val="1"/>
                <w:i w:val="0"/>
                <w:iCs w:val="0"/>
                <w:color w:val="1a3a6b"/>
                <w:sz w:val="21"/>
                <w:szCs w:val="21"/>
                <w:rtl w:val="0"/>
              </w:rPr>
              <w:t xml:space="preserve">3.4. Institucional y </w:t>
            </w:r>
            <w:r w:rsidDel="00000000" w:rsidR="00000000" w:rsidRPr="00000000">
              <w:rPr>
                <w:b w:val="1"/>
                <w:bCs w:val="1"/>
                <w:color w:val="1a3a6b"/>
                <w:sz w:val="21"/>
                <w:szCs w:val="21"/>
                <w:rtl w:val="0"/>
              </w:rPr>
              <w:t xml:space="preserve">Representación</w:t>
            </w:r>
            <w:r w:rsidDel="00000000" w:rsidR="00000000" w:rsidRPr="00000000">
              <w:rPr>
                <w:rtl w:val="0"/>
              </w:rPr>
            </w:r>
          </w:p>
          <w:p w:rsidR="00000000" w:rsidDel="00000000" w:rsidP="00000000" w:rsidRDefault="00000000" w:rsidRPr="00000000" w14:paraId="0000003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Representación de sus intereses ante organismos públicos y medios, con voz en las asambleas, acceso a la asesoría técnica de OBPT y posibilidad de alianzas con otros mayoristas miembro.</w:t>
            </w:r>
            <w:r w:rsidDel="00000000" w:rsidR="00000000" w:rsidRPr="00000000">
              <w:rPr>
                <w:rtl w:val="0"/>
              </w:rPr>
            </w:r>
          </w:p>
        </w:tc>
      </w:tr>
    </w:tbl>
    <w:p w:rsidR="00000000" w:rsidDel="00000000" w:rsidP="00000000" w:rsidRDefault="00000000" w:rsidRPr="00000000" w14:paraId="00000032">
      <w:pPr>
        <w:spacing w:after="60" w:before="60" w:lineRule="auto"/>
        <w:jc w:val="left"/>
        <w:rPr/>
      </w:pPr>
      <w:r w:rsidDel="00000000" w:rsidR="00000000" w:rsidRPr="00000000">
        <w:rPr>
          <w:rtl w:val="0"/>
        </w:rPr>
      </w:r>
    </w:p>
    <w:p w:rsidR="00000000" w:rsidDel="00000000" w:rsidP="00000000" w:rsidRDefault="00000000" w:rsidRPr="00000000" w14:paraId="00000033">
      <w:pPr>
        <w:pBdr>
          <w:bottom w:color="2e5fa3" w:space="1" w:sz="4" w:val="single"/>
        </w:pBdr>
        <w:spacing w:after="160" w:before="160" w:lineRule="auto"/>
        <w:rPr/>
      </w:pPr>
      <w:r w:rsidDel="00000000" w:rsidR="00000000" w:rsidRPr="00000000">
        <w:rPr>
          <w:rtl w:val="0"/>
        </w:rPr>
      </w:r>
    </w:p>
    <w:p w:rsidR="00000000" w:rsidDel="00000000" w:rsidP="00000000" w:rsidRDefault="00000000" w:rsidRPr="00000000" w14:paraId="00000034">
      <w:pPr>
        <w:pBdr>
          <w:bottom w:color="2e5fa3" w:space="1" w:sz="6" w:val="single"/>
        </w:pBdr>
        <w:spacing w:after="160" w:before="360" w:lineRule="auto"/>
        <w:rPr/>
      </w:pPr>
      <w:r w:rsidDel="00000000" w:rsidR="00000000" w:rsidRPr="00000000">
        <w:rPr>
          <w:rFonts w:ascii="Arial" w:cs="Arial" w:eastAsia="Arial" w:hAnsi="Arial"/>
          <w:b w:val="1"/>
          <w:bCs w:val="1"/>
          <w:i w:val="0"/>
          <w:iCs w:val="0"/>
          <w:color w:val="1a3a6b"/>
          <w:sz w:val="26"/>
          <w:szCs w:val="26"/>
          <w:rtl w:val="0"/>
        </w:rPr>
        <w:t xml:space="preserve">IV. OBLIGACIONES DEL OPERADOR MAYORISTA</w:t>
      </w:r>
      <w:r w:rsidDel="00000000" w:rsidR="00000000" w:rsidRPr="00000000">
        <w:rPr>
          <w:rtl w:val="0"/>
        </w:rPr>
      </w:r>
    </w:p>
    <w:p w:rsidR="00000000" w:rsidDel="00000000" w:rsidP="00000000" w:rsidRDefault="00000000" w:rsidRPr="00000000" w14:paraId="00000035">
      <w:pPr>
        <w:spacing w:after="60" w:before="60" w:lineRule="auto"/>
        <w:jc w:val="left"/>
        <w:rPr/>
      </w:pPr>
      <w:r w:rsidDel="00000000" w:rsidR="00000000" w:rsidRPr="00000000">
        <w:rPr>
          <w:rtl w:val="0"/>
        </w:rPr>
      </w:r>
    </w:p>
    <w:p w:rsidR="00000000" w:rsidDel="00000000" w:rsidP="00000000" w:rsidRDefault="00000000" w:rsidRPr="00000000" w14:paraId="00000036">
      <w:pPr>
        <w:spacing w:after="80" w:before="80" w:lineRule="auto"/>
        <w:jc w:val="both"/>
        <w:rPr/>
      </w:pPr>
      <w:r w:rsidDel="00000000" w:rsidR="00000000" w:rsidRPr="00000000">
        <w:rPr>
          <w:rFonts w:ascii="Arial" w:cs="Arial" w:eastAsia="Arial" w:hAnsi="Arial"/>
          <w:b w:val="0"/>
          <w:bCs w:val="0"/>
          <w:i w:val="0"/>
          <w:iCs w:val="0"/>
          <w:color w:val="000000"/>
          <w:sz w:val="20"/>
          <w:szCs w:val="20"/>
          <w:rtl w:val="0"/>
        </w:rPr>
        <w:t xml:space="preserve">La incorporación como miembro activo implica el compromiso firme e irrevocable de cumplir las siguientes obligaciones:</w:t>
      </w:r>
      <w:r w:rsidDel="00000000" w:rsidR="00000000" w:rsidRPr="00000000">
        <w:rPr>
          <w:rtl w:val="0"/>
        </w:rPr>
      </w:r>
    </w:p>
    <w:p w:rsidR="00000000" w:rsidDel="00000000" w:rsidP="00000000" w:rsidRDefault="00000000" w:rsidRPr="00000000" w14:paraId="00000037">
      <w:pPr>
        <w:spacing w:after="60" w:before="60" w:lineRule="auto"/>
        <w:jc w:val="left"/>
        <w:rPr/>
      </w:pPr>
      <w:r w:rsidDel="00000000" w:rsidR="00000000" w:rsidRPr="00000000">
        <w:rPr>
          <w:rtl w:val="0"/>
        </w:rPr>
      </w:r>
    </w:p>
    <w:p w:rsidR="00000000" w:rsidDel="00000000" w:rsidP="00000000" w:rsidRDefault="00000000" w:rsidRPr="00000000" w14:paraId="00000038">
      <w:pPr>
        <w:spacing w:after="120" w:before="280" w:lineRule="auto"/>
        <w:rPr/>
      </w:pPr>
      <w:r w:rsidDel="00000000" w:rsidR="00000000" w:rsidRPr="00000000">
        <w:rPr>
          <w:rFonts w:ascii="Arial" w:cs="Arial" w:eastAsia="Arial" w:hAnsi="Arial"/>
          <w:b w:val="1"/>
          <w:bCs w:val="1"/>
          <w:i w:val="0"/>
          <w:iCs w:val="0"/>
          <w:color w:val="2e5fa3"/>
          <w:sz w:val="22"/>
          <w:szCs w:val="22"/>
          <w:u w:val="single"/>
          <w:rtl w:val="0"/>
        </w:rPr>
        <w:t xml:space="preserve">4.1. Cuota Mensual</w:t>
      </w:r>
      <w:r w:rsidDel="00000000" w:rsidR="00000000" w:rsidRPr="00000000">
        <w:rPr>
          <w:rtl w:val="0"/>
        </w:rPr>
      </w:r>
    </w:p>
    <w:p w:rsidR="00000000" w:rsidDel="00000000" w:rsidP="00000000" w:rsidRDefault="00000000" w:rsidRPr="00000000" w14:paraId="00000039">
      <w:pPr>
        <w:spacing w:after="60" w:before="60" w:lineRule="auto"/>
        <w:jc w:val="left"/>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600" w:right="0" w:firstLine="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Abonar puntualmente la cuota mensual fijada por OBPT (transferencia, débito o efectivo, sin bienes en especie). Pasados 15 días de mora se suspenden los beneficios, y a los 60 días se produce la baja definitiva.</w:t>
      </w:r>
      <w:r w:rsidDel="00000000" w:rsidR="00000000" w:rsidRPr="00000000">
        <w:rPr>
          <w:rtl w:val="0"/>
        </w:rPr>
      </w:r>
    </w:p>
    <w:p w:rsidR="00000000" w:rsidDel="00000000" w:rsidP="00000000" w:rsidRDefault="00000000" w:rsidRPr="00000000" w14:paraId="0000003B">
      <w:pPr>
        <w:spacing w:after="60" w:before="60" w:lineRule="auto"/>
        <w:jc w:val="left"/>
        <w:rPr/>
      </w:pPr>
      <w:r w:rsidDel="00000000" w:rsidR="00000000" w:rsidRPr="00000000">
        <w:rPr>
          <w:rtl w:val="0"/>
        </w:rPr>
      </w:r>
    </w:p>
    <w:p w:rsidR="00000000" w:rsidDel="00000000" w:rsidP="00000000" w:rsidRDefault="00000000" w:rsidRPr="00000000" w14:paraId="0000003C">
      <w:pPr>
        <w:spacing w:after="120" w:before="280" w:lineRule="auto"/>
        <w:rPr/>
      </w:pPr>
      <w:r w:rsidDel="00000000" w:rsidR="00000000" w:rsidRPr="00000000">
        <w:rPr>
          <w:rFonts w:ascii="Arial" w:cs="Arial" w:eastAsia="Arial" w:hAnsi="Arial"/>
          <w:b w:val="1"/>
          <w:bCs w:val="1"/>
          <w:i w:val="0"/>
          <w:iCs w:val="0"/>
          <w:color w:val="2e5fa3"/>
          <w:sz w:val="22"/>
          <w:szCs w:val="22"/>
          <w:u w:val="single"/>
          <w:rtl w:val="0"/>
        </w:rPr>
        <w:t xml:space="preserve">4.2. FAM Tour Anual</w:t>
      </w:r>
      <w:r w:rsidDel="00000000" w:rsidR="00000000" w:rsidRPr="00000000">
        <w:rPr>
          <w:rtl w:val="0"/>
        </w:rPr>
      </w:r>
    </w:p>
    <w:p w:rsidR="00000000" w:rsidDel="00000000" w:rsidP="00000000" w:rsidRDefault="00000000" w:rsidRPr="00000000" w14:paraId="0000003D">
      <w:pPr>
        <w:spacing w:after="60" w:before="60" w:lineRule="auto"/>
        <w:jc w:val="left"/>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600" w:right="0" w:firstLine="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Organizar y proveer un mínimo de un (1) FAM Tour por año, exclusivo para agencias miembro de OBPT, con posibilidad de instrumentar el punto adicional de comisión post-FAM Tour conforme al Anexo I.</w:t>
      </w:r>
      <w:r w:rsidDel="00000000" w:rsidR="00000000" w:rsidRPr="00000000">
        <w:rPr>
          <w:rtl w:val="0"/>
        </w:rPr>
      </w:r>
    </w:p>
    <w:p w:rsidR="00000000" w:rsidDel="00000000" w:rsidP="00000000" w:rsidRDefault="00000000" w:rsidRPr="00000000" w14:paraId="0000003F">
      <w:pPr>
        <w:spacing w:after="60" w:before="60" w:lineRule="auto"/>
        <w:jc w:val="left"/>
        <w:rPr/>
      </w:pPr>
      <w:r w:rsidDel="00000000" w:rsidR="00000000" w:rsidRPr="00000000">
        <w:rPr>
          <w:rtl w:val="0"/>
        </w:rPr>
      </w:r>
    </w:p>
    <w:p w:rsidR="00000000" w:rsidDel="00000000" w:rsidP="00000000" w:rsidRDefault="00000000" w:rsidRPr="00000000" w14:paraId="00000040">
      <w:pPr>
        <w:spacing w:after="120" w:before="280" w:lineRule="auto"/>
        <w:rPr/>
      </w:pPr>
      <w:r w:rsidDel="00000000" w:rsidR="00000000" w:rsidRPr="00000000">
        <w:rPr>
          <w:rFonts w:ascii="Arial" w:cs="Arial" w:eastAsia="Arial" w:hAnsi="Arial"/>
          <w:b w:val="1"/>
          <w:bCs w:val="1"/>
          <w:i w:val="0"/>
          <w:iCs w:val="0"/>
          <w:color w:val="2e5fa3"/>
          <w:sz w:val="22"/>
          <w:szCs w:val="22"/>
          <w:u w:val="single"/>
          <w:rtl w:val="0"/>
        </w:rPr>
        <w:t xml:space="preserve">4.3. Travel Sale — Campañas Comerciales Semestrales</w:t>
      </w:r>
      <w:r w:rsidDel="00000000" w:rsidR="00000000" w:rsidRPr="00000000">
        <w:rPr>
          <w:rtl w:val="0"/>
        </w:rPr>
      </w:r>
    </w:p>
    <w:p w:rsidR="00000000" w:rsidDel="00000000" w:rsidP="00000000" w:rsidRDefault="00000000" w:rsidRPr="00000000" w14:paraId="00000041">
      <w:pPr>
        <w:spacing w:after="60" w:before="60" w:lineRule="auto"/>
        <w:jc w:val="left"/>
        <w:rPr/>
      </w:pPr>
      <w:r w:rsidDel="00000000" w:rsidR="00000000" w:rsidRPr="00000000">
        <w:rPr>
          <w:rtl w:val="0"/>
        </w:rPr>
      </w:r>
    </w:p>
    <w:p w:rsidR="00000000" w:rsidDel="00000000" w:rsidP="00000000" w:rsidRDefault="00000000" w:rsidRPr="00000000" w14:paraId="00000042">
      <w:pPr>
        <w:spacing w:after="80" w:before="80" w:lineRule="auto"/>
        <w:jc w:val="both"/>
        <w:rPr/>
      </w:pPr>
      <w:r w:rsidDel="00000000" w:rsidR="00000000" w:rsidRPr="00000000">
        <w:rPr>
          <w:rFonts w:ascii="Arial" w:cs="Arial" w:eastAsia="Arial" w:hAnsi="Arial"/>
          <w:b w:val="0"/>
          <w:bCs w:val="0"/>
          <w:i w:val="0"/>
          <w:iCs w:val="0"/>
          <w:color w:val="000000"/>
          <w:sz w:val="20"/>
          <w:szCs w:val="20"/>
          <w:rtl w:val="0"/>
        </w:rPr>
        <w:t xml:space="preserve">OBPT desarrolla dos grandes campañas comerciales por año, estratégicamente ubicadas en los períodos de menor movimiento turístico y sin superposición con otras campañas del sector:</w:t>
      </w:r>
      <w:r w:rsidDel="00000000" w:rsidR="00000000" w:rsidRPr="00000000">
        <w:rPr>
          <w:rtl w:val="0"/>
        </w:rPr>
      </w:r>
    </w:p>
    <w:p w:rsidR="00000000" w:rsidDel="00000000" w:rsidP="00000000" w:rsidRDefault="00000000" w:rsidRPr="00000000" w14:paraId="00000043">
      <w:pPr>
        <w:spacing w:after="60" w:before="60" w:lineRule="auto"/>
        <w:jc w:val="left"/>
        <w:rPr/>
      </w:pPr>
      <w:r w:rsidDel="00000000" w:rsidR="00000000" w:rsidRPr="00000000">
        <w:rPr>
          <w:rtl w:val="0"/>
        </w:rPr>
      </w:r>
    </w:p>
    <w:tbl>
      <w:tblPr>
        <w:tblStyle w:val="Table9"/>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80"/>
        <w:gridCol w:w="4680"/>
        <w:tblGridChange w:id="0">
          <w:tblGrid>
            <w:gridCol w:w="4680"/>
            <w:gridCol w:w="4680"/>
          </w:tblGrid>
        </w:tblGridChange>
      </w:tblGrid>
      <w:tr>
        <w:trPr>
          <w:cantSplit w:val="0"/>
          <w:tblHeader w:val="0"/>
        </w:trPr>
        <w:tc>
          <w:tcPr>
            <w:tcBorders>
              <w:top w:color="a0b4d0" w:space="0" w:sz="4" w:val="single"/>
              <w:left w:color="a0b4d0" w:space="0" w:sz="4" w:val="single"/>
              <w:bottom w:color="a0b4d0" w:space="0" w:sz="4" w:val="single"/>
              <w:right w:color="a0b4d0" w:space="0" w:sz="4" w:val="single"/>
            </w:tcBorders>
            <w:shd w:fill="1a3a6b" w:val="clear"/>
            <w:tcMar>
              <w:top w:w="120.0" w:type="dxa"/>
              <w:left w:w="160.0" w:type="dxa"/>
              <w:bottom w:w="120.0" w:type="dxa"/>
              <w:right w:w="160.0" w:type="dxa"/>
            </w:tcMar>
          </w:tcPr>
          <w:p w:rsidR="00000000" w:rsidDel="00000000" w:rsidP="00000000" w:rsidRDefault="00000000" w:rsidRPr="00000000" w14:paraId="00000044">
            <w:pPr>
              <w:jc w:val="center"/>
              <w:rPr/>
            </w:pPr>
            <w:r w:rsidDel="00000000" w:rsidR="00000000" w:rsidRPr="00000000">
              <w:rPr>
                <w:rFonts w:ascii="Arial" w:cs="Arial" w:eastAsia="Arial" w:hAnsi="Arial"/>
                <w:b w:val="1"/>
                <w:bCs w:val="1"/>
                <w:i w:val="0"/>
                <w:iCs w:val="0"/>
                <w:color w:val="ffffff"/>
                <w:sz w:val="22"/>
                <w:szCs w:val="22"/>
                <w:rtl w:val="0"/>
              </w:rPr>
              <w:t xml:space="preserve">TRAVEL SALE MARZO</w:t>
            </w:r>
            <w:r w:rsidDel="00000000" w:rsidR="00000000" w:rsidRPr="00000000">
              <w:rPr>
                <w:rtl w:val="0"/>
              </w:rPr>
            </w:r>
          </w:p>
        </w:tc>
        <w:tc>
          <w:tcPr>
            <w:tcBorders>
              <w:top w:color="a0b4d0" w:space="0" w:sz="4" w:val="single"/>
              <w:left w:color="a0b4d0" w:space="0" w:sz="4" w:val="single"/>
              <w:bottom w:color="a0b4d0" w:space="0" w:sz="4" w:val="single"/>
              <w:right w:color="a0b4d0" w:space="0" w:sz="4" w:val="single"/>
            </w:tcBorders>
            <w:shd w:fill="1a3a6b" w:val="clear"/>
            <w:tcMar>
              <w:top w:w="120.0" w:type="dxa"/>
              <w:left w:w="160.0" w:type="dxa"/>
              <w:bottom w:w="120.0" w:type="dxa"/>
              <w:right w:w="160.0" w:type="dxa"/>
            </w:tcMar>
          </w:tcPr>
          <w:p w:rsidR="00000000" w:rsidDel="00000000" w:rsidP="00000000" w:rsidRDefault="00000000" w:rsidRPr="00000000" w14:paraId="00000045">
            <w:pPr>
              <w:jc w:val="center"/>
              <w:rPr/>
            </w:pPr>
            <w:r w:rsidDel="00000000" w:rsidR="00000000" w:rsidRPr="00000000">
              <w:rPr>
                <w:rFonts w:ascii="Arial" w:cs="Arial" w:eastAsia="Arial" w:hAnsi="Arial"/>
                <w:b w:val="1"/>
                <w:bCs w:val="1"/>
                <w:i w:val="0"/>
                <w:iCs w:val="0"/>
                <w:color w:val="ffffff"/>
                <w:sz w:val="22"/>
                <w:szCs w:val="22"/>
                <w:rtl w:val="0"/>
              </w:rPr>
              <w:t xml:space="preserve">TRAVEL SALE AGOSTO</w:t>
            </w:r>
            <w:r w:rsidDel="00000000" w:rsidR="00000000" w:rsidRPr="00000000">
              <w:rPr>
                <w:rtl w:val="0"/>
              </w:rPr>
            </w:r>
          </w:p>
        </w:tc>
      </w:tr>
    </w:tbl>
    <w:p w:rsidR="00000000" w:rsidDel="00000000" w:rsidP="00000000" w:rsidRDefault="00000000" w:rsidRPr="00000000" w14:paraId="00000046">
      <w:pPr>
        <w:spacing w:after="60" w:before="60" w:lineRule="auto"/>
        <w:jc w:val="left"/>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600" w:right="0" w:firstLine="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Participar en ambas ediciones del Travel Sale con dos a cinco productos a precios más económicos que su lista habitual, exclusivos para la red OBPT, con fechas y requisitos comunicados con no menos de 45 días de antelación.</w:t>
      </w:r>
      <w:r w:rsidDel="00000000" w:rsidR="00000000" w:rsidRPr="00000000">
        <w:rPr>
          <w:rtl w:val="0"/>
        </w:rPr>
      </w:r>
    </w:p>
    <w:p w:rsidR="00000000" w:rsidDel="00000000" w:rsidP="00000000" w:rsidRDefault="00000000" w:rsidRPr="00000000" w14:paraId="00000048">
      <w:pPr>
        <w:spacing w:after="60" w:before="60" w:lineRule="auto"/>
        <w:jc w:val="left"/>
        <w:rPr/>
      </w:pPr>
      <w:r w:rsidDel="00000000" w:rsidR="00000000" w:rsidRPr="00000000">
        <w:rPr>
          <w:rtl w:val="0"/>
        </w:rPr>
      </w:r>
    </w:p>
    <w:p w:rsidR="00000000" w:rsidDel="00000000" w:rsidP="00000000" w:rsidRDefault="00000000" w:rsidRPr="00000000" w14:paraId="00000049">
      <w:pPr>
        <w:spacing w:after="120" w:before="280" w:lineRule="auto"/>
        <w:rPr/>
      </w:pPr>
      <w:r w:rsidDel="00000000" w:rsidR="00000000" w:rsidRPr="00000000">
        <w:rPr>
          <w:rFonts w:ascii="Arial" w:cs="Arial" w:eastAsia="Arial" w:hAnsi="Arial"/>
          <w:b w:val="1"/>
          <w:bCs w:val="1"/>
          <w:i w:val="0"/>
          <w:iCs w:val="0"/>
          <w:color w:val="2e5fa3"/>
          <w:sz w:val="22"/>
          <w:szCs w:val="22"/>
          <w:u w:val="single"/>
          <w:rtl w:val="0"/>
        </w:rPr>
        <w:t xml:space="preserve">4.4. Plantillas Comerciales Periódicas</w:t>
      </w:r>
      <w:r w:rsidDel="00000000" w:rsidR="00000000" w:rsidRPr="00000000">
        <w:rPr>
          <w:rtl w:val="0"/>
        </w:rPr>
      </w:r>
    </w:p>
    <w:p w:rsidR="00000000" w:rsidDel="00000000" w:rsidP="00000000" w:rsidRDefault="00000000" w:rsidRPr="00000000" w14:paraId="0000004A">
      <w:pPr>
        <w:spacing w:after="60" w:before="60" w:lineRule="auto"/>
        <w:jc w:val="left"/>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600" w:right="0" w:firstLine="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Enviar a OBPT plantillas comerciales nuevas con información actualizada al menos cada diez (10) días, en el formato que OBPT indique, para su distribución a toda la red de agencias miembro.</w:t>
      </w:r>
      <w:r w:rsidDel="00000000" w:rsidR="00000000" w:rsidRPr="00000000">
        <w:rPr>
          <w:rtl w:val="0"/>
        </w:rPr>
      </w:r>
    </w:p>
    <w:p w:rsidR="00000000" w:rsidDel="00000000" w:rsidP="00000000" w:rsidRDefault="00000000" w:rsidRPr="00000000" w14:paraId="0000004C">
      <w:pPr>
        <w:spacing w:after="60" w:before="60" w:lineRule="auto"/>
        <w:jc w:val="left"/>
        <w:rPr/>
      </w:pPr>
      <w:r w:rsidDel="00000000" w:rsidR="00000000" w:rsidRPr="00000000">
        <w:rPr>
          <w:rtl w:val="0"/>
        </w:rPr>
      </w:r>
    </w:p>
    <w:p w:rsidR="00000000" w:rsidDel="00000000" w:rsidP="00000000" w:rsidRDefault="00000000" w:rsidRPr="00000000" w14:paraId="0000004D">
      <w:pPr>
        <w:spacing w:after="120" w:before="280" w:lineRule="auto"/>
        <w:rPr/>
      </w:pPr>
      <w:r w:rsidDel="00000000" w:rsidR="00000000" w:rsidRPr="00000000">
        <w:rPr>
          <w:rFonts w:ascii="Arial" w:cs="Arial" w:eastAsia="Arial" w:hAnsi="Arial"/>
          <w:b w:val="1"/>
          <w:bCs w:val="1"/>
          <w:i w:val="0"/>
          <w:iCs w:val="0"/>
          <w:color w:val="2e5fa3"/>
          <w:sz w:val="22"/>
          <w:szCs w:val="22"/>
          <w:u w:val="single"/>
          <w:rtl w:val="0"/>
        </w:rPr>
        <w:t xml:space="preserve">4.5. Convenciones y Eventos Anuales</w:t>
      </w:r>
      <w:r w:rsidDel="00000000" w:rsidR="00000000" w:rsidRPr="00000000">
        <w:rPr>
          <w:rtl w:val="0"/>
        </w:rPr>
      </w:r>
    </w:p>
    <w:p w:rsidR="00000000" w:rsidDel="00000000" w:rsidP="00000000" w:rsidRDefault="00000000" w:rsidRPr="00000000" w14:paraId="0000004E">
      <w:pPr>
        <w:spacing w:after="60" w:before="60" w:lineRule="auto"/>
        <w:jc w:val="left"/>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600" w:right="0" w:firstLine="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Participar con stand propio en las convenciones anuales de OBPT, cuyo costo se abonará por separado de la cuota mensual; la ausencia injustificada en dos eventos consecutivos habilitará a OBPT a revisar la continuidad del convenio.</w:t>
      </w:r>
      <w:r w:rsidDel="00000000" w:rsidR="00000000" w:rsidRPr="00000000">
        <w:rPr>
          <w:rtl w:val="0"/>
        </w:rPr>
      </w:r>
    </w:p>
    <w:p w:rsidR="00000000" w:rsidDel="00000000" w:rsidP="00000000" w:rsidRDefault="00000000" w:rsidRPr="00000000" w14:paraId="00000050">
      <w:pPr>
        <w:pBdr>
          <w:bottom w:color="2e5fa3" w:space="1" w:sz="4" w:val="single"/>
        </w:pBdr>
        <w:spacing w:after="160" w:before="160" w:lineRule="auto"/>
        <w:rPr/>
      </w:pPr>
      <w:r w:rsidDel="00000000" w:rsidR="00000000" w:rsidRPr="00000000">
        <w:rPr>
          <w:rtl w:val="0"/>
        </w:rPr>
      </w:r>
    </w:p>
    <w:p w:rsidR="00000000" w:rsidDel="00000000" w:rsidP="00000000" w:rsidRDefault="00000000" w:rsidRPr="00000000" w14:paraId="00000051">
      <w:pPr>
        <w:pBdr>
          <w:bottom w:color="2e5fa3" w:space="1" w:sz="6" w:val="single"/>
        </w:pBdr>
        <w:spacing w:after="160" w:before="360" w:lineRule="auto"/>
        <w:rPr/>
      </w:pPr>
      <w:r w:rsidDel="00000000" w:rsidR="00000000" w:rsidRPr="00000000">
        <w:rPr>
          <w:rFonts w:ascii="Arial" w:cs="Arial" w:eastAsia="Arial" w:hAnsi="Arial"/>
          <w:b w:val="1"/>
          <w:bCs w:val="1"/>
          <w:i w:val="0"/>
          <w:iCs w:val="0"/>
          <w:color w:val="1a3a6b"/>
          <w:sz w:val="26"/>
          <w:szCs w:val="26"/>
          <w:rtl w:val="0"/>
        </w:rPr>
        <w:t xml:space="preserve">V. VIGENCIA, RENOVACIÓN Y BAJA</w:t>
      </w:r>
      <w:r w:rsidDel="00000000" w:rsidR="00000000" w:rsidRPr="00000000">
        <w:rPr>
          <w:rtl w:val="0"/>
        </w:rPr>
      </w:r>
    </w:p>
    <w:p w:rsidR="00000000" w:rsidDel="00000000" w:rsidP="00000000" w:rsidRDefault="00000000" w:rsidRPr="00000000" w14:paraId="00000052">
      <w:pPr>
        <w:spacing w:after="60" w:before="60" w:lineRule="auto"/>
        <w:jc w:val="left"/>
        <w:rPr/>
      </w:pPr>
      <w:r w:rsidDel="00000000" w:rsidR="00000000" w:rsidRPr="00000000">
        <w:rPr>
          <w:rtl w:val="0"/>
        </w:rPr>
      </w:r>
    </w:p>
    <w:p w:rsidR="00000000" w:rsidDel="00000000" w:rsidP="00000000" w:rsidRDefault="00000000" w:rsidRPr="00000000" w14:paraId="00000053">
      <w:pPr>
        <w:spacing w:after="120" w:before="280" w:lineRule="auto"/>
        <w:rPr/>
      </w:pPr>
      <w:r w:rsidDel="00000000" w:rsidR="00000000" w:rsidRPr="00000000">
        <w:rPr>
          <w:rFonts w:ascii="Arial" w:cs="Arial" w:eastAsia="Arial" w:hAnsi="Arial"/>
          <w:b w:val="1"/>
          <w:bCs w:val="1"/>
          <w:i w:val="0"/>
          <w:iCs w:val="0"/>
          <w:color w:val="2e5fa3"/>
          <w:sz w:val="22"/>
          <w:szCs w:val="22"/>
          <w:u w:val="single"/>
          <w:rtl w:val="0"/>
        </w:rPr>
        <w:t xml:space="preserve">5.1. Vigencia y Renovación Automática</w:t>
      </w:r>
      <w:r w:rsidDel="00000000" w:rsidR="00000000" w:rsidRPr="00000000">
        <w:rPr>
          <w:rtl w:val="0"/>
        </w:rPr>
      </w:r>
    </w:p>
    <w:p w:rsidR="00000000" w:rsidDel="00000000" w:rsidP="00000000" w:rsidRDefault="00000000" w:rsidRPr="00000000" w14:paraId="00000054">
      <w:pPr>
        <w:spacing w:after="60" w:before="60" w:lineRule="auto"/>
        <w:jc w:val="left"/>
        <w:rPr/>
      </w:pPr>
      <w:r w:rsidDel="00000000" w:rsidR="00000000" w:rsidRPr="00000000">
        <w:rPr>
          <w:rtl w:val="0"/>
        </w:rPr>
      </w:r>
    </w:p>
    <w:p w:rsidR="00000000" w:rsidDel="00000000" w:rsidP="00000000" w:rsidRDefault="00000000" w:rsidRPr="00000000" w14:paraId="00000055">
      <w:pPr>
        <w:spacing w:after="80" w:before="80" w:lineRule="auto"/>
        <w:jc w:val="both"/>
        <w:rPr/>
      </w:pPr>
      <w:r w:rsidDel="00000000" w:rsidR="00000000" w:rsidRPr="00000000">
        <w:rPr>
          <w:rFonts w:ascii="Arial" w:cs="Arial" w:eastAsia="Arial" w:hAnsi="Arial"/>
          <w:b w:val="0"/>
          <w:bCs w:val="0"/>
          <w:i w:val="0"/>
          <w:iCs w:val="0"/>
          <w:color w:val="000000"/>
          <w:sz w:val="20"/>
          <w:szCs w:val="20"/>
          <w:rtl w:val="0"/>
        </w:rPr>
        <w:t xml:space="preserve">El presente Convenio entrará en vigor en la fecha de su suscripción y tendrá una vigencia inicial de un (1) año, prorrogándose automáticamente por períodos anuales sucesivos sin necesidad de acto expreso, salvo que alguna de las partes manifieste su voluntad de darse de baja en los términos del artículo 5.2.</w:t>
      </w:r>
      <w:r w:rsidDel="00000000" w:rsidR="00000000" w:rsidRPr="00000000">
        <w:rPr>
          <w:rtl w:val="0"/>
        </w:rPr>
      </w:r>
    </w:p>
    <w:p w:rsidR="00000000" w:rsidDel="00000000" w:rsidP="00000000" w:rsidRDefault="00000000" w:rsidRPr="00000000" w14:paraId="00000056">
      <w:pPr>
        <w:spacing w:after="60" w:before="60" w:lineRule="auto"/>
        <w:jc w:val="left"/>
        <w:rPr/>
      </w:pPr>
      <w:r w:rsidDel="00000000" w:rsidR="00000000" w:rsidRPr="00000000">
        <w:rPr>
          <w:rtl w:val="0"/>
        </w:rPr>
      </w:r>
    </w:p>
    <w:p w:rsidR="00000000" w:rsidDel="00000000" w:rsidP="00000000" w:rsidRDefault="00000000" w:rsidRPr="00000000" w14:paraId="00000057">
      <w:pPr>
        <w:spacing w:after="60" w:before="60" w:lineRule="auto"/>
        <w:jc w:val="left"/>
        <w:rPr/>
      </w:pPr>
      <w:r w:rsidDel="00000000" w:rsidR="00000000" w:rsidRPr="00000000">
        <w:rPr>
          <w:rtl w:val="0"/>
        </w:rPr>
      </w:r>
    </w:p>
    <w:p w:rsidR="00000000" w:rsidDel="00000000" w:rsidP="00000000" w:rsidRDefault="00000000" w:rsidRPr="00000000" w14:paraId="00000058">
      <w:pPr>
        <w:spacing w:after="120" w:before="280" w:lineRule="auto"/>
        <w:rPr/>
      </w:pPr>
      <w:r w:rsidDel="00000000" w:rsidR="00000000" w:rsidRPr="00000000">
        <w:rPr>
          <w:rFonts w:ascii="Arial" w:cs="Arial" w:eastAsia="Arial" w:hAnsi="Arial"/>
          <w:b w:val="1"/>
          <w:bCs w:val="1"/>
          <w:i w:val="0"/>
          <w:iCs w:val="0"/>
          <w:color w:val="2e5fa3"/>
          <w:sz w:val="22"/>
          <w:szCs w:val="22"/>
          <w:u w:val="single"/>
          <w:rtl w:val="0"/>
        </w:rPr>
        <w:t xml:space="preserve">5.2. Comunicación de Baja Voluntaria</w:t>
      </w:r>
      <w:r w:rsidDel="00000000" w:rsidR="00000000" w:rsidRPr="00000000">
        <w:rPr>
          <w:rtl w:val="0"/>
        </w:rPr>
      </w:r>
    </w:p>
    <w:p w:rsidR="00000000" w:rsidDel="00000000" w:rsidP="00000000" w:rsidRDefault="00000000" w:rsidRPr="00000000" w14:paraId="00000059">
      <w:pPr>
        <w:spacing w:after="60" w:before="60" w:lineRule="auto"/>
        <w:jc w:val="left"/>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600" w:right="0" w:firstLine="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Cualquiera de las partes podrá dar de baja el presente Convenio mediante comunicación fehaciente dirigida a la otra parte con una antelación mínima de treinta (30) días corridos al vencimiento del período anual en curso; vencido el plazo sin dicha comunicación, el Convenio se entenderá renovado por un período adicional completo.</w:t>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600" w:right="0" w:firstLine="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La baja no eximirá al Operador del pago de las cuotas y obligaciones pendientes devengadas hasta la fecha efectiva de desvinculación.</w:t>
      </w:r>
      <w:r w:rsidDel="00000000" w:rsidR="00000000" w:rsidRPr="00000000">
        <w:rPr>
          <w:rtl w:val="0"/>
        </w:rPr>
      </w:r>
    </w:p>
    <w:p w:rsidR="00000000" w:rsidDel="00000000" w:rsidP="00000000" w:rsidRDefault="00000000" w:rsidRPr="00000000" w14:paraId="0000005C">
      <w:pPr>
        <w:spacing w:after="60" w:before="60" w:lineRule="auto"/>
        <w:jc w:val="left"/>
        <w:rPr/>
      </w:pPr>
      <w:r w:rsidDel="00000000" w:rsidR="00000000" w:rsidRPr="00000000">
        <w:rPr>
          <w:rtl w:val="0"/>
        </w:rPr>
      </w:r>
    </w:p>
    <w:p w:rsidR="00000000" w:rsidDel="00000000" w:rsidP="00000000" w:rsidRDefault="00000000" w:rsidRPr="00000000" w14:paraId="0000005D">
      <w:pPr>
        <w:spacing w:after="120" w:before="280" w:lineRule="auto"/>
        <w:rPr/>
      </w:pPr>
      <w:r w:rsidDel="00000000" w:rsidR="00000000" w:rsidRPr="00000000">
        <w:rPr>
          <w:rFonts w:ascii="Arial" w:cs="Arial" w:eastAsia="Arial" w:hAnsi="Arial"/>
          <w:b w:val="1"/>
          <w:bCs w:val="1"/>
          <w:i w:val="0"/>
          <w:iCs w:val="0"/>
          <w:color w:val="2e5fa3"/>
          <w:sz w:val="22"/>
          <w:szCs w:val="22"/>
          <w:u w:val="single"/>
          <w:rtl w:val="0"/>
        </w:rPr>
        <w:t xml:space="preserve">5.3. Consecuencias de la Baja — Uso del Logo e Imagen</w:t>
      </w:r>
      <w:r w:rsidDel="00000000" w:rsidR="00000000" w:rsidRPr="00000000">
        <w:rPr>
          <w:rtl w:val="0"/>
        </w:rPr>
      </w:r>
    </w:p>
    <w:p w:rsidR="00000000" w:rsidDel="00000000" w:rsidP="00000000" w:rsidRDefault="00000000" w:rsidRPr="00000000" w14:paraId="0000005E">
      <w:pPr>
        <w:spacing w:after="60" w:before="60" w:lineRule="auto"/>
        <w:jc w:val="left"/>
        <w:rPr/>
      </w:pPr>
      <w:r w:rsidDel="00000000" w:rsidR="00000000" w:rsidRPr="00000000">
        <w:rPr>
          <w:rtl w:val="0"/>
        </w:rPr>
      </w:r>
    </w:p>
    <w:p w:rsidR="00000000" w:rsidDel="00000000" w:rsidP="00000000" w:rsidRDefault="00000000" w:rsidRPr="00000000" w14:paraId="0000005F">
      <w:pPr>
        <w:spacing w:after="80" w:before="80" w:lineRule="auto"/>
        <w:jc w:val="both"/>
        <w:rPr/>
      </w:pPr>
      <w:r w:rsidDel="00000000" w:rsidR="00000000" w:rsidRPr="00000000">
        <w:rPr>
          <w:rFonts w:ascii="Arial" w:cs="Arial" w:eastAsia="Arial" w:hAnsi="Arial"/>
          <w:b w:val="0"/>
          <w:bCs w:val="0"/>
          <w:i w:val="0"/>
          <w:iCs w:val="0"/>
          <w:color w:val="000000"/>
          <w:sz w:val="20"/>
          <w:szCs w:val="20"/>
          <w:rtl w:val="0"/>
        </w:rPr>
        <w:t xml:space="preserve">A partir de la fecha efectiva de desvinculación de OBPT, el Operador deberá:</w:t>
      </w:r>
      <w:r w:rsidDel="00000000" w:rsidR="00000000" w:rsidRPr="00000000">
        <w:rPr>
          <w:rtl w:val="0"/>
        </w:rPr>
      </w:r>
    </w:p>
    <w:p w:rsidR="00000000" w:rsidDel="00000000" w:rsidP="00000000" w:rsidRDefault="00000000" w:rsidRPr="00000000" w14:paraId="00000060">
      <w:pPr>
        <w:spacing w:after="60" w:before="60" w:lineRule="auto"/>
        <w:jc w:val="left"/>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600" w:right="0" w:firstLine="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Cesar de inmediato en el uso del logo, sello y denominación «Miembro OBPT» en todos sus canales y soportes, y retirar de sus materiales y plataformas cualquier referencia a su condición de miembro dentro de las 48 horas siguientes a la baja.</w:t>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600" w:right="0" w:firstLine="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incumplimiento de lo anterior habilitará a OBPT a ejercer las acciones civiles y penales correspondientes por uso no autorizado de marca, con más los daños y perjuicios ocasionados.</w:t>
      </w:r>
      <w:r w:rsidDel="00000000" w:rsidR="00000000" w:rsidRPr="00000000">
        <w:rPr>
          <w:rtl w:val="0"/>
        </w:rPr>
      </w:r>
    </w:p>
    <w:p w:rsidR="00000000" w:rsidDel="00000000" w:rsidP="00000000" w:rsidRDefault="00000000" w:rsidRPr="00000000" w14:paraId="00000063">
      <w:pPr>
        <w:spacing w:after="60" w:before="60" w:lineRule="auto"/>
        <w:jc w:val="left"/>
        <w:rPr/>
      </w:pPr>
      <w:r w:rsidDel="00000000" w:rsidR="00000000" w:rsidRPr="00000000">
        <w:rPr>
          <w:rtl w:val="0"/>
        </w:rPr>
      </w:r>
    </w:p>
    <w:p w:rsidR="00000000" w:rsidDel="00000000" w:rsidP="00000000" w:rsidRDefault="00000000" w:rsidRPr="00000000" w14:paraId="00000064">
      <w:pPr>
        <w:pBdr>
          <w:bottom w:color="2e5fa3" w:space="1" w:sz="4" w:val="single"/>
        </w:pBdr>
        <w:spacing w:after="160" w:before="160" w:lineRule="auto"/>
        <w:rPr/>
      </w:pPr>
      <w:r w:rsidDel="00000000" w:rsidR="00000000" w:rsidRPr="00000000">
        <w:rPr>
          <w:rtl w:val="0"/>
        </w:rPr>
      </w:r>
    </w:p>
    <w:p w:rsidR="00000000" w:rsidDel="00000000" w:rsidP="00000000" w:rsidRDefault="00000000" w:rsidRPr="00000000" w14:paraId="00000065">
      <w:pPr>
        <w:pBdr>
          <w:bottom w:color="2e5fa3" w:space="1" w:sz="6" w:val="single"/>
        </w:pBdr>
        <w:spacing w:after="160" w:before="360" w:lineRule="auto"/>
        <w:rPr/>
      </w:pPr>
      <w:r w:rsidDel="00000000" w:rsidR="00000000" w:rsidRPr="00000000">
        <w:rPr>
          <w:rFonts w:ascii="Arial" w:cs="Arial" w:eastAsia="Arial" w:hAnsi="Arial"/>
          <w:b w:val="1"/>
          <w:bCs w:val="1"/>
          <w:i w:val="0"/>
          <w:iCs w:val="0"/>
          <w:color w:val="1a3a6b"/>
          <w:sz w:val="26"/>
          <w:szCs w:val="26"/>
          <w:rtl w:val="0"/>
        </w:rPr>
        <w:t xml:space="preserve">VI. CESIÓN DE DERECHOS DE IMAGEN Y USO DE MARCA</w:t>
      </w:r>
      <w:r w:rsidDel="00000000" w:rsidR="00000000" w:rsidRPr="00000000">
        <w:rPr>
          <w:rtl w:val="0"/>
        </w:rPr>
      </w:r>
    </w:p>
    <w:p w:rsidR="00000000" w:rsidDel="00000000" w:rsidP="00000000" w:rsidRDefault="00000000" w:rsidRPr="00000000" w14:paraId="00000066">
      <w:pPr>
        <w:spacing w:after="60" w:before="60" w:lineRule="auto"/>
        <w:jc w:val="left"/>
        <w:rPr/>
      </w:pPr>
      <w:r w:rsidDel="00000000" w:rsidR="00000000" w:rsidRPr="00000000">
        <w:rPr>
          <w:rtl w:val="0"/>
        </w:rPr>
      </w:r>
    </w:p>
    <w:p w:rsidR="00000000" w:rsidDel="00000000" w:rsidP="00000000" w:rsidRDefault="00000000" w:rsidRPr="00000000" w14:paraId="00000067">
      <w:pPr>
        <w:spacing w:after="120" w:before="280" w:lineRule="auto"/>
        <w:rPr/>
      </w:pPr>
      <w:r w:rsidDel="00000000" w:rsidR="00000000" w:rsidRPr="00000000">
        <w:rPr>
          <w:rFonts w:ascii="Arial" w:cs="Arial" w:eastAsia="Arial" w:hAnsi="Arial"/>
          <w:b w:val="1"/>
          <w:bCs w:val="1"/>
          <w:i w:val="0"/>
          <w:iCs w:val="0"/>
          <w:color w:val="2e5fa3"/>
          <w:sz w:val="22"/>
          <w:szCs w:val="22"/>
          <w:u w:val="single"/>
          <w:rtl w:val="0"/>
        </w:rPr>
        <w:t xml:space="preserve">6.1. Cesión a OBPT</w:t>
      </w:r>
      <w:r w:rsidDel="00000000" w:rsidR="00000000" w:rsidRPr="00000000">
        <w:rPr>
          <w:rtl w:val="0"/>
        </w:rPr>
      </w:r>
    </w:p>
    <w:p w:rsidR="00000000" w:rsidDel="00000000" w:rsidP="00000000" w:rsidRDefault="00000000" w:rsidRPr="00000000" w14:paraId="00000068">
      <w:pPr>
        <w:spacing w:after="60" w:before="60" w:lineRule="auto"/>
        <w:jc w:val="left"/>
        <w:rPr/>
      </w:pPr>
      <w:r w:rsidDel="00000000" w:rsidR="00000000" w:rsidRPr="00000000">
        <w:rPr>
          <w:rtl w:val="0"/>
        </w:rPr>
      </w:r>
    </w:p>
    <w:p w:rsidR="00000000" w:rsidDel="00000000" w:rsidP="00000000" w:rsidRDefault="00000000" w:rsidRPr="00000000" w14:paraId="00000069">
      <w:pPr>
        <w:spacing w:after="80" w:before="80" w:lineRule="auto"/>
        <w:jc w:val="both"/>
        <w:rPr/>
      </w:pPr>
      <w:r w:rsidDel="00000000" w:rsidR="00000000" w:rsidRPr="00000000">
        <w:rPr>
          <w:rFonts w:ascii="Arial" w:cs="Arial" w:eastAsia="Arial" w:hAnsi="Arial"/>
          <w:b w:val="0"/>
          <w:bCs w:val="0"/>
          <w:i w:val="0"/>
          <w:iCs w:val="0"/>
          <w:color w:val="000000"/>
          <w:sz w:val="20"/>
          <w:szCs w:val="20"/>
          <w:rtl w:val="0"/>
        </w:rPr>
        <w:t xml:space="preserve">El Operador Mayorista cede a OBPT los derechos de uso de su imagen institucional (nombre comercial, logotipo, fotografías y demás elementos de marca) para los siguientes fines exclusivos:</w:t>
      </w:r>
      <w:r w:rsidDel="00000000" w:rsidR="00000000" w:rsidRPr="00000000">
        <w:rPr>
          <w:rtl w:val="0"/>
        </w:rPr>
      </w:r>
    </w:p>
    <w:p w:rsidR="00000000" w:rsidDel="00000000" w:rsidP="00000000" w:rsidRDefault="00000000" w:rsidRPr="00000000" w14:paraId="0000006A">
      <w:pPr>
        <w:spacing w:after="60" w:before="60" w:lineRule="auto"/>
        <w:jc w:val="left"/>
        <w:rPr/>
      </w:pPr>
      <w:r w:rsidDel="00000000" w:rsidR="00000000" w:rsidRPr="00000000">
        <w:rPr>
          <w:rtl w:val="0"/>
        </w:rPr>
      </w:r>
    </w:p>
    <w:p w:rsidR="00000000" w:rsidDel="00000000" w:rsidP="00000000" w:rsidRDefault="00000000" w:rsidRPr="00000000" w14:paraId="0000006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Publicación en la web oficial, materiales de marketing y campañas comerciales de OBPT; difusión en redes sociales, eventos y convenciones institucionales; y demás comunicaciones destinadas a la red de agencias miembro y al mercado turístico en general.</w:t>
      </w:r>
      <w:r w:rsidDel="00000000" w:rsidR="00000000" w:rsidRPr="00000000">
        <w:rPr>
          <w:rtl w:val="0"/>
        </w:rPr>
      </w:r>
    </w:p>
    <w:p w:rsidR="00000000" w:rsidDel="00000000" w:rsidP="00000000" w:rsidRDefault="00000000" w:rsidRPr="00000000" w14:paraId="0000006C">
      <w:pPr>
        <w:spacing w:after="60" w:before="60" w:lineRule="auto"/>
        <w:jc w:val="left"/>
        <w:rPr/>
      </w:pPr>
      <w:r w:rsidDel="00000000" w:rsidR="00000000" w:rsidRPr="00000000">
        <w:rPr>
          <w:rtl w:val="0"/>
        </w:rPr>
      </w:r>
    </w:p>
    <w:p w:rsidR="00000000" w:rsidDel="00000000" w:rsidP="00000000" w:rsidRDefault="00000000" w:rsidRPr="00000000" w14:paraId="0000006D">
      <w:pPr>
        <w:spacing w:after="120" w:before="280" w:lineRule="auto"/>
        <w:rPr/>
      </w:pPr>
      <w:r w:rsidDel="00000000" w:rsidR="00000000" w:rsidRPr="00000000">
        <w:rPr>
          <w:rFonts w:ascii="Arial" w:cs="Arial" w:eastAsia="Arial" w:hAnsi="Arial"/>
          <w:b w:val="1"/>
          <w:bCs w:val="1"/>
          <w:i w:val="0"/>
          <w:iCs w:val="0"/>
          <w:color w:val="2e5fa3"/>
          <w:sz w:val="22"/>
          <w:szCs w:val="22"/>
          <w:u w:val="single"/>
          <w:rtl w:val="0"/>
        </w:rPr>
        <w:t xml:space="preserve">6.2. Condiciones del Uso</w:t>
      </w:r>
      <w:r w:rsidDel="00000000" w:rsidR="00000000" w:rsidRPr="00000000">
        <w:rPr>
          <w:rtl w:val="0"/>
        </w:rPr>
      </w:r>
    </w:p>
    <w:p w:rsidR="00000000" w:rsidDel="00000000" w:rsidP="00000000" w:rsidRDefault="00000000" w:rsidRPr="00000000" w14:paraId="0000006E">
      <w:pPr>
        <w:spacing w:after="60" w:before="60" w:lineRule="auto"/>
        <w:jc w:val="left"/>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600" w:right="0" w:firstLine="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OBPT utilizará los elementos de imagen exclusivamente para los fines descriptos, sin poder cederlos a terceros sin consentimiento escrito previo. El Operador garantiza ser titular de dichos elementos, manteniendo indemne a OBPT frente a reclamos de terceros.</w:t>
      </w:r>
      <w:r w:rsidDel="00000000" w:rsidR="00000000" w:rsidRPr="00000000">
        <w:rPr>
          <w:rtl w:val="0"/>
        </w:rPr>
      </w:r>
    </w:p>
    <w:p w:rsidR="00000000" w:rsidDel="00000000" w:rsidP="00000000" w:rsidRDefault="00000000" w:rsidRPr="00000000" w14:paraId="00000070">
      <w:pPr>
        <w:spacing w:after="60" w:before="60" w:lineRule="auto"/>
        <w:jc w:val="left"/>
        <w:rPr/>
      </w:pPr>
      <w:r w:rsidDel="00000000" w:rsidR="00000000" w:rsidRPr="00000000">
        <w:rPr>
          <w:rtl w:val="0"/>
        </w:rPr>
      </w:r>
    </w:p>
    <w:p w:rsidR="00000000" w:rsidDel="00000000" w:rsidP="00000000" w:rsidRDefault="00000000" w:rsidRPr="00000000" w14:paraId="00000071">
      <w:pPr>
        <w:spacing w:after="120" w:before="280" w:lineRule="auto"/>
        <w:rPr/>
      </w:pPr>
      <w:r w:rsidDel="00000000" w:rsidR="00000000" w:rsidRPr="00000000">
        <w:rPr>
          <w:rFonts w:ascii="Arial" w:cs="Arial" w:eastAsia="Arial" w:hAnsi="Arial"/>
          <w:b w:val="1"/>
          <w:bCs w:val="1"/>
          <w:i w:val="0"/>
          <w:iCs w:val="0"/>
          <w:color w:val="2e5fa3"/>
          <w:sz w:val="22"/>
          <w:szCs w:val="22"/>
          <w:u w:val="single"/>
          <w:rtl w:val="0"/>
        </w:rPr>
        <w:t xml:space="preserve">6.3. Renuncia a Acciones Legales por Uso Autorizado</w:t>
      </w:r>
      <w:r w:rsidDel="00000000" w:rsidR="00000000" w:rsidRPr="00000000">
        <w:rPr>
          <w:rtl w:val="0"/>
        </w:rPr>
      </w:r>
    </w:p>
    <w:p w:rsidR="00000000" w:rsidDel="00000000" w:rsidP="00000000" w:rsidRDefault="00000000" w:rsidRPr="00000000" w14:paraId="00000072">
      <w:pPr>
        <w:spacing w:after="60" w:before="60" w:lineRule="auto"/>
        <w:jc w:val="left"/>
        <w:rPr/>
      </w:pPr>
      <w:r w:rsidDel="00000000" w:rsidR="00000000" w:rsidRPr="00000000">
        <w:rPr>
          <w:rtl w:val="0"/>
        </w:rPr>
      </w:r>
    </w:p>
    <w:p w:rsidR="00000000" w:rsidDel="00000000" w:rsidP="00000000" w:rsidRDefault="00000000" w:rsidRPr="00000000" w14:paraId="00000073">
      <w:pPr>
        <w:spacing w:after="80" w:before="80" w:lineRule="auto"/>
        <w:jc w:val="both"/>
        <w:rPr/>
      </w:pPr>
      <w:r w:rsidDel="00000000" w:rsidR="00000000" w:rsidRPr="00000000">
        <w:rPr>
          <w:rFonts w:ascii="Arial" w:cs="Arial" w:eastAsia="Arial" w:hAnsi="Arial"/>
          <w:b w:val="0"/>
          <w:bCs w:val="0"/>
          <w:i w:val="0"/>
          <w:iCs w:val="0"/>
          <w:color w:val="000000"/>
          <w:sz w:val="20"/>
          <w:szCs w:val="20"/>
          <w:rtl w:val="0"/>
        </w:rPr>
        <w:t xml:space="preserve">El Operador renuncia a toda acción legal contra OBPT por el uso autorizado de su imagen, sin que ello implique cesión definitiva de titularidad. Producida la baja por cualquier causa, OBPT cesará de inmediato dicho uso y eliminará los elementos de imagen de sus canales dentro de las 48 horas.</w:t>
      </w:r>
      <w:r w:rsidDel="00000000" w:rsidR="00000000" w:rsidRPr="00000000">
        <w:rPr>
          <w:rtl w:val="0"/>
        </w:rPr>
      </w:r>
    </w:p>
    <w:p w:rsidR="00000000" w:rsidDel="00000000" w:rsidP="00000000" w:rsidRDefault="00000000" w:rsidRPr="00000000" w14:paraId="00000074">
      <w:pPr>
        <w:spacing w:after="60" w:before="60" w:lineRule="auto"/>
        <w:jc w:val="left"/>
        <w:rPr/>
      </w:pPr>
      <w:r w:rsidDel="00000000" w:rsidR="00000000" w:rsidRPr="00000000">
        <w:rPr>
          <w:rtl w:val="0"/>
        </w:rPr>
      </w:r>
    </w:p>
    <w:p w:rsidR="00000000" w:rsidDel="00000000" w:rsidP="00000000" w:rsidRDefault="00000000" w:rsidRPr="00000000" w14:paraId="00000075">
      <w:pPr>
        <w:spacing w:after="60" w:before="60" w:lineRule="auto"/>
        <w:jc w:val="left"/>
        <w:rPr/>
      </w:pPr>
      <w:r w:rsidDel="00000000" w:rsidR="00000000" w:rsidRPr="00000000">
        <w:rPr>
          <w:rtl w:val="0"/>
        </w:rPr>
      </w:r>
    </w:p>
    <w:p w:rsidR="00000000" w:rsidDel="00000000" w:rsidP="00000000" w:rsidRDefault="00000000" w:rsidRPr="00000000" w14:paraId="00000076">
      <w:pPr>
        <w:pBdr>
          <w:bottom w:color="2e5fa3" w:space="1" w:sz="4" w:val="single"/>
        </w:pBdr>
        <w:spacing w:after="160" w:before="160" w:lineRule="auto"/>
        <w:rPr/>
      </w:pPr>
      <w:r w:rsidDel="00000000" w:rsidR="00000000" w:rsidRPr="00000000">
        <w:rPr>
          <w:rtl w:val="0"/>
        </w:rPr>
      </w:r>
    </w:p>
    <w:p w:rsidR="00000000" w:rsidDel="00000000" w:rsidP="00000000" w:rsidRDefault="00000000" w:rsidRPr="00000000" w14:paraId="00000077">
      <w:pPr>
        <w:pBdr>
          <w:bottom w:color="2e5fa3" w:space="1" w:sz="6" w:val="single"/>
        </w:pBdr>
        <w:spacing w:after="160" w:before="360" w:lineRule="auto"/>
        <w:rPr/>
      </w:pPr>
      <w:r w:rsidDel="00000000" w:rsidR="00000000" w:rsidRPr="00000000">
        <w:rPr>
          <w:rFonts w:ascii="Arial" w:cs="Arial" w:eastAsia="Arial" w:hAnsi="Arial"/>
          <w:b w:val="1"/>
          <w:bCs w:val="1"/>
          <w:i w:val="0"/>
          <w:iCs w:val="0"/>
          <w:color w:val="1a3a6b"/>
          <w:sz w:val="26"/>
          <w:szCs w:val="26"/>
          <w:rtl w:val="0"/>
        </w:rPr>
        <w:t xml:space="preserve">VII. CAUSALES DE EXCLUSIÓN Y RESPONSABILIDAD</w:t>
      </w:r>
      <w:r w:rsidDel="00000000" w:rsidR="00000000" w:rsidRPr="00000000">
        <w:rPr>
          <w:rtl w:val="0"/>
        </w:rPr>
      </w:r>
    </w:p>
    <w:p w:rsidR="00000000" w:rsidDel="00000000" w:rsidP="00000000" w:rsidRDefault="00000000" w:rsidRPr="00000000" w14:paraId="00000078">
      <w:pPr>
        <w:spacing w:after="60" w:before="60" w:lineRule="auto"/>
        <w:jc w:val="left"/>
        <w:rPr/>
      </w:pPr>
      <w:r w:rsidDel="00000000" w:rsidR="00000000" w:rsidRPr="00000000">
        <w:rPr>
          <w:rtl w:val="0"/>
        </w:rPr>
      </w:r>
    </w:p>
    <w:p w:rsidR="00000000" w:rsidDel="00000000" w:rsidP="00000000" w:rsidRDefault="00000000" w:rsidRPr="00000000" w14:paraId="00000079">
      <w:pPr>
        <w:spacing w:after="120" w:before="280" w:lineRule="auto"/>
        <w:rPr/>
      </w:pPr>
      <w:r w:rsidDel="00000000" w:rsidR="00000000" w:rsidRPr="00000000">
        <w:rPr>
          <w:rFonts w:ascii="Arial" w:cs="Arial" w:eastAsia="Arial" w:hAnsi="Arial"/>
          <w:b w:val="1"/>
          <w:bCs w:val="1"/>
          <w:i w:val="0"/>
          <w:iCs w:val="0"/>
          <w:color w:val="2e5fa3"/>
          <w:sz w:val="22"/>
          <w:szCs w:val="22"/>
          <w:u w:val="single"/>
          <w:rtl w:val="0"/>
        </w:rPr>
        <w:t xml:space="preserve">7.1. Exclusión Automática</w:t>
      </w:r>
      <w:r w:rsidDel="00000000" w:rsidR="00000000" w:rsidRPr="00000000">
        <w:rPr>
          <w:rtl w:val="0"/>
        </w:rPr>
      </w:r>
    </w:p>
    <w:p w:rsidR="00000000" w:rsidDel="00000000" w:rsidP="00000000" w:rsidRDefault="00000000" w:rsidRPr="00000000" w14:paraId="0000007A">
      <w:pPr>
        <w:spacing w:after="60" w:before="60" w:lineRule="auto"/>
        <w:jc w:val="left"/>
        <w:rPr/>
      </w:pPr>
      <w:r w:rsidDel="00000000" w:rsidR="00000000" w:rsidRPr="00000000">
        <w:rPr>
          <w:rtl w:val="0"/>
        </w:rPr>
      </w:r>
    </w:p>
    <w:p w:rsidR="00000000" w:rsidDel="00000000" w:rsidP="00000000" w:rsidRDefault="00000000" w:rsidRPr="00000000" w14:paraId="0000007B">
      <w:pPr>
        <w:spacing w:after="80" w:before="80" w:lineRule="auto"/>
        <w:jc w:val="both"/>
        <w:rPr/>
      </w:pPr>
      <w:r w:rsidDel="00000000" w:rsidR="00000000" w:rsidRPr="00000000">
        <w:rPr>
          <w:rFonts w:ascii="Arial" w:cs="Arial" w:eastAsia="Arial" w:hAnsi="Arial"/>
          <w:b w:val="0"/>
          <w:bCs w:val="0"/>
          <w:i w:val="0"/>
          <w:iCs w:val="0"/>
          <w:color w:val="000000"/>
          <w:sz w:val="20"/>
          <w:szCs w:val="20"/>
          <w:rtl w:val="0"/>
        </w:rPr>
        <w:t xml:space="preserve">Quedarán automáticamente excluidos de OBPT, sin necesidad de notificación previa, los Operadores que incurran en cualquiera de las siguientes causales:</w:t>
      </w:r>
      <w:r w:rsidDel="00000000" w:rsidR="00000000" w:rsidRPr="00000000">
        <w:rPr>
          <w:rtl w:val="0"/>
        </w:rPr>
      </w:r>
    </w:p>
    <w:p w:rsidR="00000000" w:rsidDel="00000000" w:rsidP="00000000" w:rsidRDefault="00000000" w:rsidRPr="00000000" w14:paraId="0000007C">
      <w:pPr>
        <w:spacing w:after="60" w:before="60" w:lineRule="auto"/>
        <w:jc w:val="both"/>
        <w:rPr/>
      </w:pPr>
      <w:r w:rsidDel="00000000" w:rsidR="00000000" w:rsidRPr="00000000">
        <w:rPr>
          <w:rtl w:val="0"/>
        </w:rPr>
      </w:r>
    </w:p>
    <w:p w:rsidR="00000000" w:rsidDel="00000000" w:rsidP="00000000" w:rsidRDefault="00000000" w:rsidRPr="00000000" w14:paraId="0000007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600" w:right="0" w:hanging="30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Declaración de quiebra sin continuación de la explotación; actuares fraudulentos o dolosos; incumplimiento de la normativa aplicable al sector; o condena penal firme por delitos relacionados con la actividad, o revocación firme de su habilitación.</w:t>
      </w:r>
      <w:r w:rsidDel="00000000" w:rsidR="00000000" w:rsidRPr="00000000">
        <w:rPr>
          <w:rtl w:val="0"/>
        </w:rPr>
      </w:r>
    </w:p>
    <w:p w:rsidR="00000000" w:rsidDel="00000000" w:rsidP="00000000" w:rsidRDefault="00000000" w:rsidRPr="00000000" w14:paraId="0000007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600" w:right="0" w:hanging="30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Falsedad en las declaraciones de adhesión o existencia de antecedentes legales no declarados al momento de la suscripción.</w:t>
      </w:r>
      <w:r w:rsidDel="00000000" w:rsidR="00000000" w:rsidRPr="00000000">
        <w:rPr>
          <w:rtl w:val="0"/>
        </w:rPr>
      </w:r>
    </w:p>
    <w:p w:rsidR="00000000" w:rsidDel="00000000" w:rsidP="00000000" w:rsidRDefault="00000000" w:rsidRPr="00000000" w14:paraId="0000007F">
      <w:pPr>
        <w:pBdr>
          <w:bottom w:color="2e5fa3" w:space="1" w:sz="6" w:val="single"/>
        </w:pBdr>
        <w:spacing w:after="160" w:before="360" w:lineRule="auto"/>
        <w:rPr/>
      </w:pPr>
      <w:r w:rsidDel="00000000" w:rsidR="00000000" w:rsidRPr="00000000">
        <w:rPr>
          <w:b w:val="1"/>
          <w:bCs w:val="1"/>
          <w:color w:val="1a3a6b"/>
          <w:sz w:val="26"/>
          <w:szCs w:val="26"/>
          <w:rtl w:val="0"/>
        </w:rPr>
        <w:t xml:space="preserve">VII</w:t>
      </w:r>
      <w:r w:rsidDel="00000000" w:rsidR="00000000" w:rsidRPr="00000000">
        <w:rPr>
          <w:rFonts w:ascii="Arial" w:cs="Arial" w:eastAsia="Arial" w:hAnsi="Arial"/>
          <w:b w:val="1"/>
          <w:bCs w:val="1"/>
          <w:i w:val="0"/>
          <w:iCs w:val="0"/>
          <w:color w:val="1a3a6b"/>
          <w:sz w:val="26"/>
          <w:szCs w:val="26"/>
          <w:rtl w:val="0"/>
        </w:rPr>
        <w:t xml:space="preserve">. CAMPAÑAS TRAVEL SALE — ESPECIFICACIONES</w:t>
      </w:r>
      <w:r w:rsidDel="00000000" w:rsidR="00000000" w:rsidRPr="00000000">
        <w:rPr>
          <w:rtl w:val="0"/>
        </w:rPr>
      </w:r>
    </w:p>
    <w:p w:rsidR="00000000" w:rsidDel="00000000" w:rsidP="00000000" w:rsidRDefault="00000000" w:rsidRPr="00000000" w14:paraId="00000080">
      <w:pPr>
        <w:spacing w:after="60" w:before="60" w:lineRule="auto"/>
        <w:jc w:val="left"/>
        <w:rPr/>
      </w:pPr>
      <w:r w:rsidDel="00000000" w:rsidR="00000000" w:rsidRPr="00000000">
        <w:rPr>
          <w:rtl w:val="0"/>
        </w:rPr>
      </w:r>
    </w:p>
    <w:p w:rsidR="00000000" w:rsidDel="00000000" w:rsidP="00000000" w:rsidRDefault="00000000" w:rsidRPr="00000000" w14:paraId="00000081">
      <w:pPr>
        <w:spacing w:after="80" w:before="80" w:lineRule="auto"/>
        <w:jc w:val="both"/>
        <w:rPr/>
      </w:pPr>
      <w:r w:rsidDel="00000000" w:rsidR="00000000" w:rsidRPr="00000000">
        <w:rPr>
          <w:rFonts w:ascii="Arial" w:cs="Arial" w:eastAsia="Arial" w:hAnsi="Arial"/>
          <w:b w:val="0"/>
          <w:bCs w:val="0"/>
          <w:i w:val="0"/>
          <w:iCs w:val="0"/>
          <w:color w:val="000000"/>
          <w:sz w:val="20"/>
          <w:szCs w:val="20"/>
          <w:rtl w:val="0"/>
        </w:rPr>
        <w:t xml:space="preserve">Especificaciones de las campañas Travel Sale de marzo y agosto, el evento comercial más importante del calendario de OBPT:</w:t>
      </w:r>
      <w:r w:rsidDel="00000000" w:rsidR="00000000" w:rsidRPr="00000000">
        <w:rPr>
          <w:rtl w:val="0"/>
        </w:rPr>
      </w:r>
    </w:p>
    <w:p w:rsidR="00000000" w:rsidDel="00000000" w:rsidP="00000000" w:rsidRDefault="00000000" w:rsidRPr="00000000" w14:paraId="00000082">
      <w:pPr>
        <w:spacing w:after="60" w:before="60" w:lineRule="auto"/>
        <w:jc w:val="left"/>
        <w:rPr/>
      </w:pPr>
      <w:r w:rsidDel="00000000" w:rsidR="00000000" w:rsidRPr="00000000">
        <w:rPr>
          <w:rtl w:val="0"/>
        </w:rPr>
      </w:r>
    </w:p>
    <w:tbl>
      <w:tblPr>
        <w:tblStyle w:val="Table1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80"/>
        <w:gridCol w:w="4680"/>
        <w:tblGridChange w:id="0">
          <w:tblGrid>
            <w:gridCol w:w="4680"/>
            <w:gridCol w:w="4680"/>
          </w:tblGrid>
        </w:tblGridChange>
      </w:tblGrid>
      <w:tr>
        <w:trPr>
          <w:cantSplit w:val="0"/>
          <w:tblHeader w:val="0"/>
        </w:trPr>
        <w:tc>
          <w:tcPr>
            <w:tcBorders>
              <w:top w:color="a0b4d0" w:space="0" w:sz="4" w:val="single"/>
              <w:left w:color="a0b4d0" w:space="0" w:sz="4" w:val="single"/>
              <w:bottom w:color="a0b4d0" w:space="0" w:sz="4" w:val="single"/>
              <w:right w:color="a0b4d0" w:space="0" w:sz="4" w:val="single"/>
            </w:tcBorders>
            <w:shd w:fill="d6e4f7" w:val="clear"/>
            <w:tcMar>
              <w:top w:w="120.0" w:type="dxa"/>
              <w:left w:w="160.0" w:type="dxa"/>
              <w:bottom w:w="120.0" w:type="dxa"/>
              <w:right w:w="160.0" w:type="dxa"/>
            </w:tcMar>
          </w:tcPr>
          <w:p w:rsidR="00000000" w:rsidDel="00000000" w:rsidP="00000000" w:rsidRDefault="00000000" w:rsidRPr="00000000" w14:paraId="00000083">
            <w:pPr>
              <w:jc w:val="center"/>
              <w:rPr/>
            </w:pPr>
            <w:r w:rsidDel="00000000" w:rsidR="00000000" w:rsidRPr="00000000">
              <w:rPr>
                <w:rFonts w:ascii="Arial" w:cs="Arial" w:eastAsia="Arial" w:hAnsi="Arial"/>
                <w:b w:val="1"/>
                <w:bCs w:val="1"/>
                <w:i w:val="0"/>
                <w:iCs w:val="0"/>
                <w:color w:val="1a3a6b"/>
                <w:sz w:val="20"/>
                <w:szCs w:val="20"/>
                <w:rtl w:val="0"/>
              </w:rPr>
              <w:t xml:space="preserve">COMPROMISOS DEL OPERADOR</w:t>
            </w:r>
            <w:r w:rsidDel="00000000" w:rsidR="00000000" w:rsidRPr="00000000">
              <w:rPr>
                <w:rtl w:val="0"/>
              </w:rPr>
            </w:r>
          </w:p>
          <w:p w:rsidR="00000000" w:rsidDel="00000000" w:rsidP="00000000" w:rsidRDefault="00000000" w:rsidRPr="00000000" w14:paraId="00000084">
            <w:pPr>
              <w:spacing w:after="60" w:before="60" w:lineRule="auto"/>
              <w:jc w:val="left"/>
              <w:rPr/>
            </w:pPr>
            <w:r w:rsidDel="00000000" w:rsidR="00000000" w:rsidRPr="00000000">
              <w:rPr>
                <w:rtl w:val="0"/>
              </w:rPr>
            </w:r>
          </w:p>
          <w:p w:rsidR="00000000" w:rsidDel="00000000" w:rsidP="00000000" w:rsidRDefault="00000000" w:rsidRPr="00000000" w14:paraId="0000008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Mínimo 2 y máximo 5 productos por edición</w:t>
            </w:r>
            <w:r w:rsidDel="00000000" w:rsidR="00000000" w:rsidRPr="00000000">
              <w:rPr>
                <w:rtl w:val="0"/>
              </w:rPr>
            </w:r>
          </w:p>
          <w:p w:rsidR="00000000" w:rsidDel="00000000" w:rsidP="00000000" w:rsidRDefault="00000000" w:rsidRPr="00000000" w14:paraId="0000008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Precios más económicos que lista habitual</w:t>
            </w:r>
            <w:r w:rsidDel="00000000" w:rsidR="00000000" w:rsidRPr="00000000">
              <w:rPr>
                <w:rtl w:val="0"/>
              </w:rPr>
            </w:r>
          </w:p>
          <w:p w:rsidR="00000000" w:rsidDel="00000000" w:rsidP="00000000" w:rsidRDefault="00000000" w:rsidRPr="00000000" w14:paraId="0000008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Exclusividad para la red OBPT durante la campaña</w:t>
            </w:r>
            <w:r w:rsidDel="00000000" w:rsidR="00000000" w:rsidRPr="00000000">
              <w:rPr>
                <w:rtl w:val="0"/>
              </w:rPr>
            </w:r>
          </w:p>
          <w:p w:rsidR="00000000" w:rsidDel="00000000" w:rsidP="00000000" w:rsidRDefault="00000000" w:rsidRPr="00000000" w14:paraId="0000008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Disponibilidad real y confirmada de cupos</w:t>
            </w:r>
            <w:r w:rsidDel="00000000" w:rsidR="00000000" w:rsidRPr="00000000">
              <w:rPr>
                <w:rtl w:val="0"/>
              </w:rPr>
            </w:r>
          </w:p>
        </w:tc>
        <w:tc>
          <w:tcPr>
            <w:tcBorders>
              <w:top w:color="a0b4d0" w:space="0" w:sz="4" w:val="single"/>
              <w:left w:color="a0b4d0" w:space="0" w:sz="4" w:val="single"/>
              <w:bottom w:color="a0b4d0" w:space="0" w:sz="4" w:val="single"/>
              <w:right w:color="a0b4d0" w:space="0" w:sz="4" w:val="single"/>
            </w:tcBorders>
            <w:shd w:fill="d6e4f7" w:val="clear"/>
            <w:tcMar>
              <w:top w:w="120.0" w:type="dxa"/>
              <w:left w:w="160.0" w:type="dxa"/>
              <w:bottom w:w="120.0" w:type="dxa"/>
              <w:right w:w="160.0" w:type="dxa"/>
            </w:tcMar>
          </w:tcPr>
          <w:p w:rsidR="00000000" w:rsidDel="00000000" w:rsidP="00000000" w:rsidRDefault="00000000" w:rsidRPr="00000000" w14:paraId="00000089">
            <w:pPr>
              <w:jc w:val="center"/>
              <w:rPr/>
            </w:pPr>
            <w:r w:rsidDel="00000000" w:rsidR="00000000" w:rsidRPr="00000000">
              <w:rPr>
                <w:rFonts w:ascii="Arial" w:cs="Arial" w:eastAsia="Arial" w:hAnsi="Arial"/>
                <w:b w:val="1"/>
                <w:bCs w:val="1"/>
                <w:i w:val="0"/>
                <w:iCs w:val="0"/>
                <w:color w:val="1a3a6b"/>
                <w:sz w:val="20"/>
                <w:szCs w:val="20"/>
                <w:rtl w:val="0"/>
              </w:rPr>
              <w:t xml:space="preserve">BENEFICIOS PARA EL OPERADOR</w:t>
            </w:r>
            <w:r w:rsidDel="00000000" w:rsidR="00000000" w:rsidRPr="00000000">
              <w:rPr>
                <w:rtl w:val="0"/>
              </w:rPr>
            </w:r>
          </w:p>
          <w:p w:rsidR="00000000" w:rsidDel="00000000" w:rsidP="00000000" w:rsidRDefault="00000000" w:rsidRPr="00000000" w14:paraId="0000008A">
            <w:pPr>
              <w:spacing w:after="60" w:before="60" w:lineRule="auto"/>
              <w:jc w:val="left"/>
              <w:rPr/>
            </w:pPr>
            <w:r w:rsidDel="00000000" w:rsidR="00000000" w:rsidRPr="00000000">
              <w:rPr>
                <w:rtl w:val="0"/>
              </w:rPr>
            </w:r>
          </w:p>
          <w:p w:rsidR="00000000" w:rsidDel="00000000" w:rsidP="00000000" w:rsidRDefault="00000000" w:rsidRPr="00000000" w14:paraId="0000008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Visibilidad masiva ante toda la red</w:t>
            </w:r>
            <w:r w:rsidDel="00000000" w:rsidR="00000000" w:rsidRPr="00000000">
              <w:rPr>
                <w:rtl w:val="0"/>
              </w:rPr>
            </w:r>
          </w:p>
          <w:p w:rsidR="00000000" w:rsidDel="00000000" w:rsidP="00000000" w:rsidRDefault="00000000" w:rsidRPr="00000000" w14:paraId="0000008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Flyers y difusión institucional de OBPT</w:t>
            </w:r>
            <w:r w:rsidDel="00000000" w:rsidR="00000000" w:rsidRPr="00000000">
              <w:rPr>
                <w:rtl w:val="0"/>
              </w:rPr>
            </w:r>
          </w:p>
          <w:p w:rsidR="00000000" w:rsidDel="00000000" w:rsidP="00000000" w:rsidRDefault="00000000" w:rsidRPr="00000000" w14:paraId="0000008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Generación de ventas en período bajo</w:t>
            </w:r>
            <w:r w:rsidDel="00000000" w:rsidR="00000000" w:rsidRPr="00000000">
              <w:rPr>
                <w:rtl w:val="0"/>
              </w:rPr>
            </w:r>
          </w:p>
          <w:p w:rsidR="00000000" w:rsidDel="00000000" w:rsidP="00000000" w:rsidRDefault="00000000" w:rsidRPr="00000000" w14:paraId="0000008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600" w:right="0" w:hanging="30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Posicionamiento de marca en el sector</w:t>
            </w:r>
            <w:r w:rsidDel="00000000" w:rsidR="00000000" w:rsidRPr="00000000">
              <w:rPr>
                <w:rtl w:val="0"/>
              </w:rPr>
            </w:r>
          </w:p>
        </w:tc>
      </w:tr>
    </w:tbl>
    <w:p w:rsidR="00000000" w:rsidDel="00000000" w:rsidP="00000000" w:rsidRDefault="00000000" w:rsidRPr="00000000" w14:paraId="0000008F">
      <w:pPr>
        <w:spacing w:after="60" w:before="60" w:lineRule="auto"/>
        <w:jc w:val="left"/>
        <w:rPr/>
      </w:pPr>
      <w:r w:rsidDel="00000000" w:rsidR="00000000" w:rsidRPr="00000000">
        <w:rPr>
          <w:rtl w:val="0"/>
        </w:rPr>
      </w:r>
    </w:p>
    <w:p w:rsidR="00000000" w:rsidDel="00000000" w:rsidP="00000000" w:rsidRDefault="00000000" w:rsidRPr="00000000" w14:paraId="00000090">
      <w:pPr>
        <w:pBdr>
          <w:bottom w:color="2e5fa3" w:space="1" w:sz="4" w:val="single"/>
        </w:pBdr>
        <w:spacing w:after="160" w:before="160" w:lineRule="auto"/>
        <w:rPr/>
      </w:pPr>
      <w:r w:rsidDel="00000000" w:rsidR="00000000" w:rsidRPr="00000000">
        <w:rPr>
          <w:rtl w:val="0"/>
        </w:rPr>
      </w:r>
    </w:p>
    <w:p w:rsidR="00000000" w:rsidDel="00000000" w:rsidP="00000000" w:rsidRDefault="00000000" w:rsidRPr="00000000" w14:paraId="00000091">
      <w:pPr>
        <w:pBdr>
          <w:bottom w:color="2e5fa3" w:space="1" w:sz="6" w:val="single"/>
        </w:pBdr>
        <w:spacing w:after="160" w:before="360" w:lineRule="auto"/>
        <w:rPr/>
      </w:pPr>
      <w:r w:rsidDel="00000000" w:rsidR="00000000" w:rsidRPr="00000000">
        <w:rPr>
          <w:rFonts w:ascii="Arial" w:cs="Arial" w:eastAsia="Arial" w:hAnsi="Arial"/>
          <w:b w:val="1"/>
          <w:bCs w:val="1"/>
          <w:i w:val="0"/>
          <w:iCs w:val="0"/>
          <w:color w:val="1a3a6b"/>
          <w:sz w:val="26"/>
          <w:szCs w:val="26"/>
          <w:rtl w:val="0"/>
        </w:rPr>
        <w:t xml:space="preserve">X. CONFIDENCIALIDAD</w:t>
      </w:r>
      <w:r w:rsidDel="00000000" w:rsidR="00000000" w:rsidRPr="00000000">
        <w:rPr>
          <w:rtl w:val="0"/>
        </w:rPr>
      </w:r>
    </w:p>
    <w:p w:rsidR="00000000" w:rsidDel="00000000" w:rsidP="00000000" w:rsidRDefault="00000000" w:rsidRPr="00000000" w14:paraId="00000092">
      <w:pPr>
        <w:spacing w:after="60" w:before="60" w:lineRule="auto"/>
        <w:jc w:val="left"/>
        <w:rPr/>
      </w:pPr>
      <w:r w:rsidDel="00000000" w:rsidR="00000000" w:rsidRPr="00000000">
        <w:rPr>
          <w:rtl w:val="0"/>
        </w:rPr>
      </w:r>
    </w:p>
    <w:p w:rsidR="00000000" w:rsidDel="00000000" w:rsidP="00000000" w:rsidRDefault="00000000" w:rsidRPr="00000000" w14:paraId="00000093">
      <w:pPr>
        <w:spacing w:after="80" w:before="80" w:lineRule="auto"/>
        <w:jc w:val="both"/>
        <w:rPr/>
      </w:pPr>
      <w:r w:rsidDel="00000000" w:rsidR="00000000" w:rsidRPr="00000000">
        <w:rPr>
          <w:rFonts w:ascii="Arial" w:cs="Arial" w:eastAsia="Arial" w:hAnsi="Arial"/>
          <w:b w:val="0"/>
          <w:bCs w:val="0"/>
          <w:i w:val="0"/>
          <w:iCs w:val="0"/>
          <w:color w:val="000000"/>
          <w:sz w:val="20"/>
          <w:szCs w:val="20"/>
          <w:rtl w:val="0"/>
        </w:rPr>
        <w:t xml:space="preserve">Las condiciones económicas, aranceles y acuerdos comerciales establecidos en el marco del presente Convenio son confidenciales entre las partes y no podrán divulgarse a terceros sin consentimiento escrito previo. Esta obligación subsistirá por dos (2) años desde la desvinculación, cualquiera sea su causa.</w:t>
      </w:r>
      <w:r w:rsidDel="00000000" w:rsidR="00000000" w:rsidRPr="00000000">
        <w:rPr>
          <w:rtl w:val="0"/>
        </w:rPr>
      </w:r>
    </w:p>
    <w:p w:rsidR="00000000" w:rsidDel="00000000" w:rsidP="00000000" w:rsidRDefault="00000000" w:rsidRPr="00000000" w14:paraId="00000094">
      <w:pPr>
        <w:spacing w:after="60" w:before="60" w:lineRule="auto"/>
        <w:jc w:val="left"/>
        <w:rPr/>
      </w:pPr>
      <w:r w:rsidDel="00000000" w:rsidR="00000000" w:rsidRPr="00000000">
        <w:rPr>
          <w:rtl w:val="0"/>
        </w:rPr>
      </w:r>
    </w:p>
    <w:p w:rsidR="00000000" w:rsidDel="00000000" w:rsidP="00000000" w:rsidRDefault="00000000" w:rsidRPr="00000000" w14:paraId="00000095">
      <w:pPr>
        <w:pBdr>
          <w:bottom w:color="2e5fa3" w:space="1" w:sz="4" w:val="single"/>
        </w:pBdr>
        <w:spacing w:after="160" w:before="160" w:lineRule="auto"/>
        <w:rPr/>
      </w:pPr>
      <w:r w:rsidDel="00000000" w:rsidR="00000000" w:rsidRPr="00000000">
        <w:rPr>
          <w:rtl w:val="0"/>
        </w:rPr>
      </w:r>
    </w:p>
    <w:p w:rsidR="00000000" w:rsidDel="00000000" w:rsidP="00000000" w:rsidRDefault="00000000" w:rsidRPr="00000000" w14:paraId="00000096">
      <w:pPr>
        <w:pBdr>
          <w:bottom w:color="2e5fa3" w:space="1" w:sz="6" w:val="single"/>
        </w:pBdr>
        <w:spacing w:after="160" w:before="360" w:lineRule="auto"/>
        <w:rPr/>
      </w:pPr>
      <w:r w:rsidDel="00000000" w:rsidR="00000000" w:rsidRPr="00000000">
        <w:rPr>
          <w:b w:val="1"/>
          <w:bCs w:val="1"/>
          <w:color w:val="1a3a6b"/>
          <w:sz w:val="26"/>
          <w:szCs w:val="26"/>
          <w:rtl w:val="0"/>
        </w:rPr>
        <w:t xml:space="preserve">IX</w:t>
      </w:r>
      <w:r w:rsidDel="00000000" w:rsidR="00000000" w:rsidRPr="00000000">
        <w:rPr>
          <w:rFonts w:ascii="Arial" w:cs="Arial" w:eastAsia="Arial" w:hAnsi="Arial"/>
          <w:b w:val="1"/>
          <w:bCs w:val="1"/>
          <w:i w:val="0"/>
          <w:iCs w:val="0"/>
          <w:color w:val="1a3a6b"/>
          <w:sz w:val="26"/>
          <w:szCs w:val="26"/>
          <w:rtl w:val="0"/>
        </w:rPr>
        <w:t xml:space="preserve">. DISPOSICIONES FINALES</w:t>
      </w:r>
      <w:r w:rsidDel="00000000" w:rsidR="00000000" w:rsidRPr="00000000">
        <w:rPr>
          <w:rtl w:val="0"/>
        </w:rPr>
      </w:r>
    </w:p>
    <w:p w:rsidR="00000000" w:rsidDel="00000000" w:rsidP="00000000" w:rsidRDefault="00000000" w:rsidRPr="00000000" w14:paraId="00000097">
      <w:pPr>
        <w:spacing w:after="80" w:before="80" w:lineRule="auto"/>
        <w:jc w:val="both"/>
        <w:rPr/>
      </w:pPr>
      <w:r w:rsidDel="00000000" w:rsidR="00000000" w:rsidRPr="00000000">
        <w:rPr>
          <w:rFonts w:ascii="Arial" w:cs="Arial" w:eastAsia="Arial" w:hAnsi="Arial"/>
          <w:b w:val="0"/>
          <w:bCs w:val="0"/>
          <w:i w:val="0"/>
          <w:iCs w:val="0"/>
          <w:color w:val="000000"/>
          <w:sz w:val="20"/>
          <w:szCs w:val="20"/>
          <w:rtl w:val="0"/>
        </w:rPr>
        <w:t xml:space="preserve">El presente instrumento, junto con el Estatuto de OBPT y el Anexo I, constituye el acuerdo completo entre las partes.</w:t>
      </w:r>
      <w:r w:rsidDel="00000000" w:rsidR="00000000" w:rsidRPr="00000000">
        <w:rPr>
          <w:rtl w:val="0"/>
        </w:rPr>
      </w:r>
    </w:p>
    <w:p w:rsidR="00000000" w:rsidDel="00000000" w:rsidP="00000000" w:rsidRDefault="00000000" w:rsidRPr="00000000" w14:paraId="00000098">
      <w:pPr>
        <w:spacing w:after="60" w:before="60" w:lineRule="auto"/>
        <w:jc w:val="left"/>
        <w:rPr/>
      </w:pPr>
      <w:r w:rsidDel="00000000" w:rsidR="00000000" w:rsidRPr="00000000">
        <w:rPr>
          <w:rtl w:val="0"/>
        </w:rPr>
      </w:r>
    </w:p>
    <w:p w:rsidR="00000000" w:rsidDel="00000000" w:rsidP="00000000" w:rsidRDefault="00000000" w:rsidRPr="00000000" w14:paraId="00000099">
      <w:pPr>
        <w:pBdr>
          <w:bottom w:color="2e5fa3" w:space="1" w:sz="4" w:val="single"/>
        </w:pBdr>
        <w:spacing w:after="160" w:before="160" w:lineRule="auto"/>
        <w:rPr/>
      </w:pPr>
      <w:r w:rsidDel="00000000" w:rsidR="00000000" w:rsidRPr="00000000">
        <w:rPr>
          <w:rtl w:val="0"/>
        </w:rPr>
      </w:r>
    </w:p>
    <w:p w:rsidR="00000000" w:rsidDel="00000000" w:rsidP="00000000" w:rsidRDefault="00000000" w:rsidRPr="00000000" w14:paraId="0000009A">
      <w:pPr>
        <w:pBdr>
          <w:bottom w:color="2e5fa3" w:space="1" w:sz="6" w:val="single"/>
        </w:pBdr>
        <w:spacing w:after="160" w:before="360" w:lineRule="auto"/>
        <w:rPr/>
      </w:pPr>
      <w:r w:rsidDel="00000000" w:rsidR="00000000" w:rsidRPr="00000000">
        <w:rPr>
          <w:rFonts w:ascii="Arial" w:cs="Arial" w:eastAsia="Arial" w:hAnsi="Arial"/>
          <w:b w:val="1"/>
          <w:bCs w:val="1"/>
          <w:i w:val="0"/>
          <w:iCs w:val="0"/>
          <w:color w:val="1a3a6b"/>
          <w:sz w:val="26"/>
          <w:szCs w:val="26"/>
          <w:rtl w:val="0"/>
        </w:rPr>
        <w:t xml:space="preserve">XII. FIRMAS</w:t>
      </w:r>
      <w:r w:rsidDel="00000000" w:rsidR="00000000" w:rsidRPr="00000000">
        <w:rPr>
          <w:rtl w:val="0"/>
        </w:rPr>
      </w:r>
    </w:p>
    <w:p w:rsidR="00000000" w:rsidDel="00000000" w:rsidP="00000000" w:rsidRDefault="00000000" w:rsidRPr="00000000" w14:paraId="0000009B">
      <w:pPr>
        <w:spacing w:after="60" w:before="60" w:lineRule="auto"/>
        <w:jc w:val="left"/>
        <w:rPr/>
      </w:pPr>
      <w:r w:rsidDel="00000000" w:rsidR="00000000" w:rsidRPr="00000000">
        <w:rPr>
          <w:rtl w:val="0"/>
        </w:rPr>
      </w:r>
    </w:p>
    <w:tbl>
      <w:tblPr>
        <w:tblStyle w:val="Table1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a0b4d0" w:space="0" w:sz="4" w:val="single"/>
              <w:left w:color="a0b4d0" w:space="0" w:sz="4" w:val="single"/>
              <w:bottom w:color="a0b4d0" w:space="0" w:sz="4" w:val="single"/>
              <w:right w:color="a0b4d0" w:space="0" w:sz="4" w:val="single"/>
            </w:tcBorders>
            <w:shd w:fill="f2f5fa" w:val="clear"/>
            <w:tcMar>
              <w:top w:w="160.0" w:type="dxa"/>
              <w:left w:w="200.0" w:type="dxa"/>
              <w:bottom w:w="160.0" w:type="dxa"/>
              <w:right w:w="200.0" w:type="dxa"/>
            </w:tcMar>
          </w:tcPr>
          <w:p w:rsidR="00000000" w:rsidDel="00000000" w:rsidP="00000000" w:rsidRDefault="00000000" w:rsidRPr="00000000" w14:paraId="0000009C">
            <w:pPr>
              <w:spacing w:after="80" w:before="80" w:lineRule="auto"/>
              <w:jc w:val="both"/>
              <w:rPr/>
            </w:pPr>
            <w:r w:rsidDel="00000000" w:rsidR="00000000" w:rsidRPr="00000000">
              <w:rPr>
                <w:rFonts w:ascii="Arial" w:cs="Arial" w:eastAsia="Arial" w:hAnsi="Arial"/>
                <w:b w:val="0"/>
                <w:bCs w:val="0"/>
                <w:i w:val="0"/>
                <w:iCs w:val="0"/>
                <w:color w:val="000000"/>
                <w:sz w:val="20"/>
                <w:szCs w:val="20"/>
                <w:rtl w:val="0"/>
              </w:rPr>
              <w:t xml:space="preserve">Las partes declaran haber leído, comprendido y aceptado en su totalidad el presente Convenio, incluyendo todos sus anexos, manifestando su conformidad mediante las firmas que a continuación se consignan.</w:t>
            </w:r>
            <w:r w:rsidDel="00000000" w:rsidR="00000000" w:rsidRPr="00000000">
              <w:rPr>
                <w:rtl w:val="0"/>
              </w:rPr>
            </w:r>
          </w:p>
        </w:tc>
      </w:tr>
    </w:tbl>
    <w:p w:rsidR="00000000" w:rsidDel="00000000" w:rsidP="00000000" w:rsidRDefault="00000000" w:rsidRPr="00000000" w14:paraId="0000009D">
      <w:pPr>
        <w:spacing w:after="60" w:before="60" w:lineRule="auto"/>
        <w:jc w:val="left"/>
        <w:rPr/>
      </w:pPr>
      <w:r w:rsidDel="00000000" w:rsidR="00000000" w:rsidRPr="00000000">
        <w:rPr>
          <w:rtl w:val="0"/>
        </w:rPr>
      </w:r>
    </w:p>
    <w:p w:rsidR="00000000" w:rsidDel="00000000" w:rsidP="00000000" w:rsidRDefault="00000000" w:rsidRPr="00000000" w14:paraId="0000009E">
      <w:pPr>
        <w:spacing w:after="60" w:before="60" w:lineRule="auto"/>
        <w:jc w:val="left"/>
        <w:rPr/>
      </w:pPr>
      <w:r w:rsidDel="00000000" w:rsidR="00000000" w:rsidRPr="00000000">
        <w:rPr>
          <w:rtl w:val="0"/>
        </w:rPr>
      </w:r>
    </w:p>
    <w:tbl>
      <w:tblPr>
        <w:tblStyle w:val="Table12"/>
        <w:tblW w:w="432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320"/>
        <w:tblGridChange w:id="0">
          <w:tblGrid>
            <w:gridCol w:w="432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tcPr>
          <w:p w:rsidR="00000000" w:rsidDel="00000000" w:rsidP="00000000" w:rsidRDefault="00000000" w:rsidRPr="00000000" w14:paraId="0000009F">
            <w:pPr>
              <w:pBdr>
                <w:bottom w:color="2e5fa3" w:space="0" w:sz="6" w:val="single"/>
              </w:pBdr>
              <w:jc w:val="center"/>
              <w:rPr/>
            </w:pPr>
            <w:r w:rsidDel="00000000" w:rsidR="00000000" w:rsidRPr="00000000">
              <w:rPr>
                <w:rtl w:val="0"/>
              </w:rPr>
            </w:r>
          </w:p>
          <w:p w:rsidR="00000000" w:rsidDel="00000000" w:rsidP="00000000" w:rsidRDefault="00000000" w:rsidRPr="00000000" w14:paraId="000000A0">
            <w:pPr>
              <w:spacing w:after="0" w:before="80" w:lineRule="auto"/>
              <w:jc w:val="center"/>
              <w:rPr/>
            </w:pPr>
            <w:r w:rsidDel="00000000" w:rsidR="00000000" w:rsidRPr="00000000">
              <w:rPr>
                <w:rFonts w:ascii="Arial" w:cs="Arial" w:eastAsia="Arial" w:hAnsi="Arial"/>
                <w:b w:val="1"/>
                <w:bCs w:val="1"/>
                <w:i w:val="0"/>
                <w:iCs w:val="0"/>
                <w:color w:val="1a3a6b"/>
                <w:sz w:val="19"/>
                <w:szCs w:val="19"/>
                <w:rtl w:val="0"/>
              </w:rPr>
              <w:t xml:space="preserve">Por el Operador Mayorista</w:t>
            </w:r>
            <w:r w:rsidDel="00000000" w:rsidR="00000000" w:rsidRPr="00000000">
              <w:rPr>
                <w:rtl w:val="0"/>
              </w:rPr>
            </w:r>
          </w:p>
          <w:p w:rsidR="00000000" w:rsidDel="00000000" w:rsidP="00000000" w:rsidRDefault="00000000" w:rsidRPr="00000000" w14:paraId="000000A1">
            <w:pPr>
              <w:jc w:val="center"/>
              <w:rPr/>
            </w:pPr>
            <w:r w:rsidDel="00000000" w:rsidR="00000000" w:rsidRPr="00000000">
              <w:rPr>
                <w:rFonts w:ascii="Arial" w:cs="Arial" w:eastAsia="Arial" w:hAnsi="Arial"/>
                <w:b w:val="0"/>
                <w:bCs w:val="0"/>
                <w:i w:val="0"/>
                <w:iCs w:val="0"/>
                <w:color w:val="666666"/>
                <w:sz w:val="18"/>
                <w:szCs w:val="18"/>
                <w:rtl w:val="0"/>
              </w:rPr>
              <w:t xml:space="preserve">Nombre, Cargo, Sello y Firma</w:t>
            </w:r>
            <w:r w:rsidDel="00000000" w:rsidR="00000000" w:rsidRPr="00000000">
              <w:rPr>
                <w:rtl w:val="0"/>
              </w:rPr>
            </w:r>
          </w:p>
        </w:tc>
      </w:tr>
    </w:tbl>
    <w:p w:rsidR="00000000" w:rsidDel="00000000" w:rsidP="00000000" w:rsidRDefault="00000000" w:rsidRPr="00000000" w14:paraId="000000A2">
      <w:pPr>
        <w:spacing w:after="60" w:before="60" w:lineRule="auto"/>
        <w:jc w:val="left"/>
        <w:rPr/>
      </w:pPr>
      <w:r w:rsidDel="00000000" w:rsidR="00000000" w:rsidRPr="00000000">
        <w:rPr>
          <w:rtl w:val="0"/>
        </w:rPr>
      </w:r>
    </w:p>
    <w:p w:rsidR="00000000" w:rsidDel="00000000" w:rsidP="00000000" w:rsidRDefault="00000000" w:rsidRPr="00000000" w14:paraId="000000A3">
      <w:pPr>
        <w:pBdr>
          <w:bottom w:color="2e5fa3" w:space="1" w:sz="4" w:val="single"/>
        </w:pBdr>
        <w:spacing w:after="160" w:before="160" w:lineRule="auto"/>
        <w:rPr/>
      </w:pPr>
      <w:r w:rsidDel="00000000" w:rsidR="00000000" w:rsidRPr="00000000">
        <w:rPr>
          <w:rtl w:val="0"/>
        </w:rPr>
      </w:r>
    </w:p>
    <w:p w:rsidR="00000000" w:rsidDel="00000000" w:rsidP="00000000" w:rsidRDefault="00000000" w:rsidRPr="00000000" w14:paraId="000000A4">
      <w:pPr>
        <w:rPr/>
      </w:pPr>
      <w:r w:rsidDel="00000000" w:rsidR="00000000" w:rsidRPr="00000000">
        <w:br w:type="page"/>
      </w:r>
      <w:r w:rsidDel="00000000" w:rsidR="00000000" w:rsidRPr="00000000">
        <w:rPr>
          <w:rtl w:val="0"/>
        </w:rPr>
      </w:r>
    </w:p>
    <w:tbl>
      <w:tblPr>
        <w:tblStyle w:val="Table1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a0b4d0" w:space="0" w:sz="4" w:val="single"/>
              <w:left w:color="a0b4d0" w:space="0" w:sz="4" w:val="single"/>
              <w:bottom w:color="a0b4d0" w:space="0" w:sz="4" w:val="single"/>
              <w:right w:color="a0b4d0" w:space="0" w:sz="4" w:val="single"/>
            </w:tcBorders>
            <w:shd w:fill="1a3a6b" w:val="clear"/>
            <w:tcMar>
              <w:top w:w="280.0" w:type="dxa"/>
              <w:left w:w="360.0" w:type="dxa"/>
              <w:bottom w:w="280.0" w:type="dxa"/>
              <w:right w:w="360.0" w:type="dxa"/>
            </w:tcMar>
          </w:tcPr>
          <w:p w:rsidR="00000000" w:rsidDel="00000000" w:rsidP="00000000" w:rsidRDefault="00000000" w:rsidRPr="00000000" w14:paraId="000000A5">
            <w:pPr>
              <w:jc w:val="center"/>
              <w:rPr/>
            </w:pPr>
            <w:r w:rsidDel="00000000" w:rsidR="00000000" w:rsidRPr="00000000">
              <w:rPr>
                <w:rFonts w:ascii="Arial" w:cs="Arial" w:eastAsia="Arial" w:hAnsi="Arial"/>
                <w:b w:val="1"/>
                <w:bCs w:val="1"/>
                <w:i w:val="0"/>
                <w:iCs w:val="0"/>
                <w:color w:val="ffffff"/>
                <w:sz w:val="20"/>
                <w:szCs w:val="20"/>
                <w:rtl w:val="0"/>
              </w:rPr>
              <w:t xml:space="preserve">ANEXO I</w:t>
            </w:r>
            <w:r w:rsidDel="00000000" w:rsidR="00000000" w:rsidRPr="00000000">
              <w:rPr>
                <w:rtl w:val="0"/>
              </w:rPr>
            </w:r>
          </w:p>
          <w:p w:rsidR="00000000" w:rsidDel="00000000" w:rsidP="00000000" w:rsidRDefault="00000000" w:rsidRPr="00000000" w14:paraId="000000A6">
            <w:pPr>
              <w:jc w:val="center"/>
              <w:rPr/>
            </w:pPr>
            <w:r w:rsidDel="00000000" w:rsidR="00000000" w:rsidRPr="00000000">
              <w:rPr>
                <w:rFonts w:ascii="Arial" w:cs="Arial" w:eastAsia="Arial" w:hAnsi="Arial"/>
                <w:b w:val="1"/>
                <w:bCs w:val="1"/>
                <w:i w:val="0"/>
                <w:iCs w:val="0"/>
                <w:color w:val="bcd4f0"/>
                <w:sz w:val="24"/>
                <w:szCs w:val="24"/>
                <w:rtl w:val="0"/>
              </w:rPr>
              <w:t xml:space="preserve">MECANISMO FAM TOUR — PUNTO ADICIONAL DE COMISIÓN</w:t>
            </w:r>
            <w:r w:rsidDel="00000000" w:rsidR="00000000" w:rsidRPr="00000000">
              <w:rPr>
                <w:rtl w:val="0"/>
              </w:rPr>
            </w:r>
          </w:p>
          <w:p w:rsidR="00000000" w:rsidDel="00000000" w:rsidP="00000000" w:rsidRDefault="00000000" w:rsidRPr="00000000" w14:paraId="000000A7">
            <w:pPr>
              <w:spacing w:after="0" w:before="80" w:lineRule="auto"/>
              <w:jc w:val="center"/>
              <w:rPr/>
            </w:pPr>
            <w:r w:rsidDel="00000000" w:rsidR="00000000" w:rsidRPr="00000000">
              <w:rPr>
                <w:rFonts w:ascii="Arial" w:cs="Arial" w:eastAsia="Arial" w:hAnsi="Arial"/>
                <w:b w:val="0"/>
                <w:bCs w:val="0"/>
                <w:i w:val="0"/>
                <w:iCs w:val="0"/>
                <w:color w:val="a0b8d8"/>
                <w:sz w:val="17"/>
                <w:szCs w:val="17"/>
                <w:rtl w:val="0"/>
              </w:rPr>
              <w:t xml:space="preserve">Instrumento complementario al Convenio de Membresía Mayorista OBPT</w:t>
            </w:r>
            <w:r w:rsidDel="00000000" w:rsidR="00000000" w:rsidRPr="00000000">
              <w:rPr>
                <w:rtl w:val="0"/>
              </w:rPr>
            </w:r>
          </w:p>
        </w:tc>
      </w:tr>
    </w:tbl>
    <w:p w:rsidR="00000000" w:rsidDel="00000000" w:rsidP="00000000" w:rsidRDefault="00000000" w:rsidRPr="00000000" w14:paraId="000000A8">
      <w:pPr>
        <w:spacing w:after="60" w:before="60" w:lineRule="auto"/>
        <w:jc w:val="left"/>
        <w:rPr/>
      </w:pPr>
      <w:r w:rsidDel="00000000" w:rsidR="00000000" w:rsidRPr="00000000">
        <w:rPr>
          <w:rtl w:val="0"/>
        </w:rPr>
      </w:r>
    </w:p>
    <w:p w:rsidR="00000000" w:rsidDel="00000000" w:rsidP="00000000" w:rsidRDefault="00000000" w:rsidRPr="00000000" w14:paraId="000000A9">
      <w:pPr>
        <w:spacing w:after="80" w:before="80" w:lineRule="auto"/>
        <w:jc w:val="both"/>
        <w:rPr/>
      </w:pPr>
      <w:r w:rsidDel="00000000" w:rsidR="00000000" w:rsidRPr="00000000">
        <w:rPr>
          <w:rFonts w:ascii="Arial" w:cs="Arial" w:eastAsia="Arial" w:hAnsi="Arial"/>
          <w:b w:val="0"/>
          <w:bCs w:val="0"/>
          <w:i w:val="0"/>
          <w:iCs w:val="0"/>
          <w:color w:val="000000"/>
          <w:sz w:val="20"/>
          <w:szCs w:val="20"/>
          <w:rtl w:val="0"/>
        </w:rPr>
        <w:t xml:space="preserve">Las partes acuerdan que la presente cláusula regula la mecánica por la cual el Operador Mayorista financia total o parcialmente el pasaje aéreo del Minorista para su participación en un FAM Tour y, a cambio, le concede un incremento temporal en la comisión sobre las reservas que canalice hacia el Mayorista, incentivando así la comercialización de sus productos.</w:t>
      </w:r>
      <w:r w:rsidDel="00000000" w:rsidR="00000000" w:rsidRPr="00000000">
        <w:rPr>
          <w:rtl w:val="0"/>
        </w:rPr>
      </w:r>
    </w:p>
    <w:p w:rsidR="00000000" w:rsidDel="00000000" w:rsidP="00000000" w:rsidRDefault="00000000" w:rsidRPr="00000000" w14:paraId="000000AA">
      <w:pPr>
        <w:spacing w:after="60" w:before="60" w:lineRule="auto"/>
        <w:jc w:val="left"/>
        <w:rPr/>
      </w:pPr>
      <w:r w:rsidDel="00000000" w:rsidR="00000000" w:rsidRPr="00000000">
        <w:rPr>
          <w:rtl w:val="0"/>
        </w:rPr>
      </w:r>
    </w:p>
    <w:p w:rsidR="00000000" w:rsidDel="00000000" w:rsidP="00000000" w:rsidRDefault="00000000" w:rsidRPr="00000000" w14:paraId="000000AB">
      <w:pPr>
        <w:spacing w:after="120" w:before="280" w:lineRule="auto"/>
        <w:rPr/>
      </w:pPr>
      <w:r w:rsidDel="00000000" w:rsidR="00000000" w:rsidRPr="00000000">
        <w:rPr>
          <w:rFonts w:ascii="Arial" w:cs="Arial" w:eastAsia="Arial" w:hAnsi="Arial"/>
          <w:b w:val="1"/>
          <w:bCs w:val="1"/>
          <w:i w:val="0"/>
          <w:iCs w:val="0"/>
          <w:color w:val="2e5fa3"/>
          <w:sz w:val="22"/>
          <w:szCs w:val="22"/>
          <w:u w:val="single"/>
          <w:rtl w:val="0"/>
        </w:rPr>
        <w:t xml:space="preserve">Mecánica Operativa</w:t>
      </w:r>
      <w:r w:rsidDel="00000000" w:rsidR="00000000" w:rsidRPr="00000000">
        <w:rPr>
          <w:rtl w:val="0"/>
        </w:rPr>
      </w:r>
    </w:p>
    <w:p w:rsidR="00000000" w:rsidDel="00000000" w:rsidP="00000000" w:rsidRDefault="00000000" w:rsidRPr="00000000" w14:paraId="000000AC">
      <w:pPr>
        <w:spacing w:after="60" w:before="60" w:lineRule="auto"/>
        <w:jc w:val="left"/>
        <w:rPr/>
      </w:pP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600" w:right="0" w:firstLine="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Mayorista podrá abonar total o parcialmente el costo del pasaje aéreo del Minorista, documentado y notificado con anterioridad al viaje. Desde la finalización del FAM Tour, concederá un (1) punto de comisión adicional sobre las reservas nuevas, emitidas y cobradas, que el Minorista gestione durante el Período de Beneficio.</w:t>
      </w: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600" w:right="0" w:firstLine="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Solo serán computables reservas nuevas, realizadas y confirmadas dentro del Período de Beneficio por los canales oficialmente habilitados; no se aplicará el punto adicional a reservas canceladas, reembolsadas, no emitidas o realizadas fuera de dichos canales.</w:t>
      </w: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600" w:right="0" w:firstLine="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diferencial de comisión se acumulará como crédito a favor del Minorista y se aplicará contra las comisiones a pagar en liquidaciones mensuales, hasta cubrir el monto del pasaje (salvo acuerdo escrito de pago directo), respaldado por un reporte mensual del Mayorista con fecha de emisión, importe, comisión base, comisión con punto adicional y diferencial generado.</w:t>
      </w: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600" w:right="0" w:firstLine="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 incumplimiento del Minorista en sus obligaciones esenciales habilitará al Mayorista a suspender el mecanismo y revertir los créditos indebidamente aplicados.</w:t>
      </w: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600" w:right="0" w:firstLine="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Las condiciones económicas del presente Anexo son confidenciales entre las partes.</w:t>
      </w:r>
      <w:r w:rsidDel="00000000" w:rsidR="00000000" w:rsidRPr="00000000">
        <w:rPr>
          <w:rtl w:val="0"/>
        </w:rPr>
      </w:r>
    </w:p>
    <w:p w:rsidR="00000000" w:rsidDel="00000000" w:rsidP="00000000" w:rsidRDefault="00000000" w:rsidRPr="00000000" w14:paraId="000000B2">
      <w:pPr>
        <w:spacing w:after="60" w:before="60" w:lineRule="auto"/>
        <w:jc w:val="left"/>
        <w:rPr/>
      </w:pPr>
      <w:r w:rsidDel="00000000" w:rsidR="00000000" w:rsidRPr="00000000">
        <w:rPr>
          <w:rtl w:val="0"/>
        </w:rPr>
      </w:r>
    </w:p>
    <w:p w:rsidR="00000000" w:rsidDel="00000000" w:rsidP="00000000" w:rsidRDefault="00000000" w:rsidRPr="00000000" w14:paraId="000000B3">
      <w:pPr>
        <w:spacing w:after="60" w:before="60" w:lineRule="auto"/>
        <w:rPr/>
      </w:pPr>
      <w:r w:rsidDel="00000000" w:rsidR="00000000" w:rsidRPr="00000000">
        <w:rPr>
          <w:rtl w:val="0"/>
        </w:rPr>
      </w:r>
    </w:p>
    <w:tbl>
      <w:tblPr>
        <w:tblStyle w:val="Table14"/>
        <w:tblpPr w:leftFromText="180" w:rightFromText="180" w:topFromText="180" w:bottomFromText="180" w:vertAnchor="text" w:horzAnchor="text" w:tblpX="2544.0000000000005" w:tblpY="46.03027343750909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320"/>
        <w:gridCol w:w="720"/>
        <w:gridCol w:w="4320"/>
        <w:tblGridChange w:id="0">
          <w:tblGrid>
            <w:gridCol w:w="4320"/>
            <w:gridCol w:w="720"/>
            <w:gridCol w:w="4320"/>
          </w:tblGrid>
        </w:tblGridChange>
      </w:tblGrid>
      <w:tr>
        <w:trPr>
          <w:cantSplit w:val="0"/>
          <w:trHeight w:val="96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4">
            <w:pPr>
              <w:pBdr>
                <w:bottom w:color="2e5fa3" w:space="0" w:sz="6" w:val="single"/>
              </w:pBdr>
              <w:jc w:val="center"/>
              <w:rPr/>
            </w:pPr>
            <w:r w:rsidDel="00000000" w:rsidR="00000000" w:rsidRPr="00000000">
              <w:rPr>
                <w:rtl w:val="0"/>
              </w:rPr>
            </w:r>
          </w:p>
          <w:p w:rsidR="00000000" w:rsidDel="00000000" w:rsidP="00000000" w:rsidRDefault="00000000" w:rsidRPr="00000000" w14:paraId="000000B5">
            <w:pPr>
              <w:spacing w:before="80" w:lineRule="auto"/>
              <w:jc w:val="center"/>
              <w:rPr/>
            </w:pPr>
            <w:r w:rsidDel="00000000" w:rsidR="00000000" w:rsidRPr="00000000">
              <w:rPr>
                <w:b w:val="1"/>
                <w:bCs w:val="1"/>
                <w:color w:val="1a3a6b"/>
                <w:sz w:val="19"/>
                <w:szCs w:val="19"/>
                <w:rtl w:val="0"/>
              </w:rPr>
              <w:t xml:space="preserve">Por el Mayorista</w:t>
            </w:r>
            <w:r w:rsidDel="00000000" w:rsidR="00000000" w:rsidRPr="00000000">
              <w:rPr>
                <w:rtl w:val="0"/>
              </w:rPr>
            </w:r>
          </w:p>
          <w:p w:rsidR="00000000" w:rsidDel="00000000" w:rsidP="00000000" w:rsidRDefault="00000000" w:rsidRPr="00000000" w14:paraId="000000B6">
            <w:pPr>
              <w:jc w:val="center"/>
              <w:rPr/>
            </w:pPr>
            <w:r w:rsidDel="00000000" w:rsidR="00000000" w:rsidRPr="00000000">
              <w:rPr>
                <w:color w:val="666666"/>
                <w:sz w:val="18"/>
                <w:szCs w:val="18"/>
                <w:rtl w:val="0"/>
              </w:rPr>
              <w:t xml:space="preserve">Nombre, Cargo y Firma</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7">
            <w:pPr>
              <w:spacing w:after="80" w:before="80" w:lineRule="au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8">
            <w:pPr>
              <w:jc w:val="center"/>
              <w:rPr/>
            </w:pPr>
            <w:r w:rsidDel="00000000" w:rsidR="00000000" w:rsidRPr="00000000">
              <w:rPr>
                <w:rtl w:val="0"/>
              </w:rPr>
            </w:r>
          </w:p>
        </w:tc>
      </w:tr>
    </w:tbl>
    <w:p w:rsidR="00000000" w:rsidDel="00000000" w:rsidP="00000000" w:rsidRDefault="00000000" w:rsidRPr="00000000" w14:paraId="000000B9">
      <w:pPr>
        <w:widowControl w:val="0"/>
        <w:spacing w:line="276" w:lineRule="auto"/>
        <w:rPr/>
      </w:pPr>
      <w:r w:rsidDel="00000000" w:rsidR="00000000" w:rsidRPr="00000000">
        <w:rPr>
          <w:rtl w:val="0"/>
        </w:rPr>
      </w:r>
    </w:p>
    <w:sectPr>
      <w:headerReference r:id="rId7" w:type="default"/>
      <w:footerReference r:id="rId8" w:type="default"/>
      <w:pgSz w:h="16838" w:w="11906" w:orient="portrait"/>
      <w:pgMar w:bottom="1440" w:top="1440" w:left="1296" w:right="1296"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B">
    <w:pPr>
      <w:pBdr>
        <w:top w:color="2e5fa3" w:space="1" w:sz="4" w:val="single"/>
      </w:pBdr>
      <w:tabs>
        <w:tab w:val="right" w:leader="none" w:pos="9360"/>
      </w:tabs>
      <w:spacing w:after="0" w:before="60" w:lineRule="auto"/>
      <w:rPr/>
    </w:pPr>
    <w:r w:rsidDel="00000000" w:rsidR="00000000" w:rsidRPr="00000000">
      <w:rPr>
        <w:rFonts w:ascii="Arial" w:cs="Arial" w:eastAsia="Arial" w:hAnsi="Arial"/>
        <w:b w:val="0"/>
        <w:bCs w:val="0"/>
        <w:i w:val="0"/>
        <w:iCs w:val="0"/>
        <w:color w:val="888888"/>
        <w:sz w:val="16"/>
        <w:szCs w:val="16"/>
        <w:rtl w:val="0"/>
      </w:rPr>
      <w:t xml:space="preserve">OBPT — Convenio Mayorista  |  ConfidencialPágina </w:t>
    </w:r>
    <w:r w:rsidDel="00000000" w:rsidR="00000000" w:rsidRPr="00000000">
      <w:rPr>
        <w:rFonts w:ascii="Arial" w:cs="Arial" w:eastAsia="Arial" w:hAnsi="Arial"/>
        <w:color w:val="888888"/>
        <w:sz w:val="16"/>
        <w:szCs w:val="16"/>
      </w:rPr>
      <w:fldChar w:fldCharType="begin"/>
      <w:instrText xml:space="preserve">PAGE</w:instrText>
      <w:fldChar w:fldCharType="separate"/>
      <w:fldChar w:fldCharType="end"/>
    </w:r>
    <w:r w:rsidDel="00000000" w:rsidR="00000000" w:rsidRPr="00000000">
      <w:rPr>
        <w:rFonts w:ascii="Arial" w:cs="Arial" w:eastAsia="Arial" w:hAnsi="Arial"/>
        <w:b w:val="0"/>
        <w:bCs w:val="0"/>
        <w:i w:val="0"/>
        <w:iCs w:val="0"/>
        <w:color w:val="888888"/>
        <w:sz w:val="16"/>
        <w:szCs w:val="16"/>
        <w:rtl w:val="0"/>
      </w:rPr>
      <w:t xml:space="preserve"> de </w:t>
    </w:r>
    <w:r w:rsidDel="00000000" w:rsidR="00000000" w:rsidRPr="00000000">
      <w:rPr>
        <w:rFonts w:ascii="Arial" w:cs="Arial" w:eastAsia="Arial" w:hAnsi="Arial"/>
        <w:color w:val="888888"/>
        <w:sz w:val="16"/>
        <w:szCs w:val="16"/>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A">
    <w:pPr>
      <w:pBdr>
        <w:bottom w:color="1a3a6b" w:space="1" w:sz="8" w:val="single"/>
      </w:pBdr>
      <w:spacing w:after="60" w:before="0" w:lineRule="auto"/>
      <w:rPr/>
    </w:pPr>
    <w:r w:rsidDel="00000000" w:rsidR="00000000" w:rsidRPr="00000000">
      <w:rPr>
        <w:rFonts w:ascii="Arial" w:cs="Arial" w:eastAsia="Arial" w:hAnsi="Arial"/>
        <w:b w:val="1"/>
        <w:bCs w:val="1"/>
        <w:i w:val="0"/>
        <w:iCs w:val="0"/>
        <w:color w:val="1a3a6b"/>
        <w:sz w:val="26"/>
        <w:szCs w:val="26"/>
        <w:rtl w:val="0"/>
      </w:rPr>
      <w:t xml:space="preserve">OBPT  </w:t>
    </w:r>
    <w:r w:rsidDel="00000000" w:rsidR="00000000" w:rsidRPr="00000000">
      <w:rPr>
        <w:rFonts w:ascii="Arial" w:cs="Arial" w:eastAsia="Arial" w:hAnsi="Arial"/>
        <w:b w:val="0"/>
        <w:bCs w:val="0"/>
        <w:i w:val="0"/>
        <w:iCs w:val="0"/>
        <w:color w:val="2e5fa3"/>
        <w:sz w:val="17"/>
        <w:szCs w:val="17"/>
        <w:rtl w:val="0"/>
      </w:rPr>
      <w:t xml:space="preserve">Organización de Beneficios de Profesionales de Turismo</w:t>
    </w:r>
    <w:r w:rsidDel="00000000" w:rsidR="00000000" w:rsidRPr="00000000">
      <w:rPr>
        <w:rFonts w:ascii="Arial" w:cs="Arial" w:eastAsia="Arial" w:hAnsi="Arial"/>
        <w:b w:val="0"/>
        <w:bCs w:val="0"/>
        <w:i w:val="0"/>
        <w:iCs w:val="0"/>
        <w:color w:val="888888"/>
        <w:sz w:val="16"/>
        <w:szCs w:val="16"/>
        <w:rtl w:val="0"/>
      </w:rPr>
      <w:t xml:space="preserve">   |   Convenio de Membresía Mayorista</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600" w:hanging="30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600" w:hanging="30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RCYXGVvwy7Zxg0jQwRhz0MklXA==">CgMxLjA4AHIhMUxuM2YzLWpPY0xWdkpHQldzVEFJVjQ0NGdxRGhIaTJl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